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66FE0" w14:textId="77777777" w:rsidR="008F4810" w:rsidRPr="008F4810" w:rsidRDefault="008F4810" w:rsidP="008F4810">
      <w:pPr>
        <w:shd w:val="clear" w:color="auto" w:fill="FFFFFF"/>
        <w:spacing w:after="0" w:line="240" w:lineRule="auto"/>
        <w:jc w:val="center"/>
        <w:rPr>
          <w:rFonts w:ascii="Arial" w:eastAsia="Times New Roman" w:hAnsi="Arial" w:cs="Arial"/>
          <w:color w:val="000000"/>
          <w:sz w:val="23"/>
          <w:szCs w:val="23"/>
          <w:lang w:eastAsia="fr-FR"/>
        </w:rPr>
      </w:pPr>
      <w:r w:rsidRPr="008F4810">
        <w:rPr>
          <w:rFonts w:ascii="Arial" w:eastAsia="Times New Roman" w:hAnsi="Arial" w:cs="Arial"/>
          <w:color w:val="000000"/>
          <w:sz w:val="23"/>
          <w:szCs w:val="23"/>
          <w:lang w:eastAsia="fr-FR"/>
        </w:rPr>
        <w:br/>
        <w:t>JORF n°0162 du 2 juillet 2020</w:t>
      </w:r>
      <w:r w:rsidRPr="008F4810">
        <w:rPr>
          <w:rFonts w:ascii="Arial" w:eastAsia="Times New Roman" w:hAnsi="Arial" w:cs="Arial"/>
          <w:color w:val="000000"/>
          <w:sz w:val="23"/>
          <w:szCs w:val="23"/>
          <w:lang w:eastAsia="fr-FR"/>
        </w:rPr>
        <w:br/>
        <w:t>texte n° 13</w:t>
      </w:r>
      <w:r w:rsidRPr="008F4810">
        <w:rPr>
          <w:rFonts w:ascii="Arial" w:eastAsia="Times New Roman" w:hAnsi="Arial" w:cs="Arial"/>
          <w:color w:val="000000"/>
          <w:sz w:val="23"/>
          <w:szCs w:val="23"/>
          <w:lang w:eastAsia="fr-FR"/>
        </w:rPr>
        <w:br/>
      </w:r>
      <w:r w:rsidRPr="008F4810">
        <w:rPr>
          <w:rFonts w:ascii="Arial" w:eastAsia="Times New Roman" w:hAnsi="Arial" w:cs="Arial"/>
          <w:color w:val="000000"/>
          <w:sz w:val="23"/>
          <w:szCs w:val="23"/>
          <w:lang w:eastAsia="fr-FR"/>
        </w:rPr>
        <w:br/>
      </w:r>
      <w:r w:rsidRPr="008F4810">
        <w:rPr>
          <w:rFonts w:ascii="Arial" w:eastAsia="Times New Roman" w:hAnsi="Arial" w:cs="Arial"/>
          <w:color w:val="000000"/>
          <w:sz w:val="23"/>
          <w:szCs w:val="23"/>
          <w:lang w:eastAsia="fr-FR"/>
        </w:rPr>
        <w:br/>
      </w:r>
      <w:r w:rsidRPr="008F4810">
        <w:rPr>
          <w:rFonts w:ascii="Arial" w:eastAsia="Times New Roman" w:hAnsi="Arial" w:cs="Arial"/>
          <w:color w:val="000000"/>
          <w:sz w:val="23"/>
          <w:szCs w:val="23"/>
          <w:lang w:eastAsia="fr-FR"/>
        </w:rPr>
        <w:br/>
      </w:r>
      <w:r w:rsidRPr="008F4810">
        <w:rPr>
          <w:rFonts w:ascii="Arial" w:eastAsia="Times New Roman" w:hAnsi="Arial" w:cs="Arial"/>
          <w:b/>
          <w:bCs/>
          <w:color w:val="000000"/>
          <w:sz w:val="23"/>
          <w:szCs w:val="23"/>
          <w:lang w:eastAsia="fr-FR"/>
        </w:rPr>
        <w:t>Décret n° 2020-828 du 30 juin 2020 modifiant la nomenclature et la procédure en matière de police de l'eau</w:t>
      </w:r>
      <w:r w:rsidRPr="008F4810">
        <w:rPr>
          <w:rFonts w:ascii="Arial" w:eastAsia="Times New Roman" w:hAnsi="Arial" w:cs="Arial"/>
          <w:color w:val="000000"/>
          <w:sz w:val="23"/>
          <w:szCs w:val="23"/>
          <w:lang w:eastAsia="fr-FR"/>
        </w:rPr>
        <w:br/>
      </w:r>
      <w:r w:rsidRPr="008F4810">
        <w:rPr>
          <w:rFonts w:ascii="Arial" w:eastAsia="Times New Roman" w:hAnsi="Arial" w:cs="Arial"/>
          <w:color w:val="000000"/>
          <w:sz w:val="23"/>
          <w:szCs w:val="23"/>
          <w:lang w:eastAsia="fr-FR"/>
        </w:rPr>
        <w:br/>
        <w:t>NOR: TREL1910642D</w:t>
      </w:r>
    </w:p>
    <w:p w14:paraId="341EB0F4" w14:textId="77777777" w:rsidR="008F4810" w:rsidRPr="008F4810" w:rsidRDefault="008F4810" w:rsidP="008F4810">
      <w:pPr>
        <w:shd w:val="clear" w:color="auto" w:fill="FFFFFF"/>
        <w:spacing w:line="240" w:lineRule="auto"/>
        <w:jc w:val="center"/>
        <w:rPr>
          <w:rFonts w:ascii="Arial" w:eastAsia="Times New Roman" w:hAnsi="Arial" w:cs="Arial"/>
          <w:color w:val="000000"/>
          <w:sz w:val="20"/>
          <w:szCs w:val="20"/>
          <w:lang w:eastAsia="fr-FR"/>
        </w:rPr>
      </w:pPr>
      <w:r w:rsidRPr="008F4810">
        <w:rPr>
          <w:rFonts w:ascii="Arial" w:eastAsia="Times New Roman" w:hAnsi="Arial" w:cs="Arial"/>
          <w:color w:val="000000"/>
          <w:sz w:val="20"/>
          <w:szCs w:val="20"/>
          <w:lang w:eastAsia="fr-FR"/>
        </w:rPr>
        <w:t>ELI: https://www.legifrance.gouv.fr/eli/decret/2020/6/30/TREL1910642D/jo/texte</w:t>
      </w:r>
      <w:r w:rsidRPr="008F4810">
        <w:rPr>
          <w:rFonts w:ascii="Arial" w:eastAsia="Times New Roman" w:hAnsi="Arial" w:cs="Arial"/>
          <w:color w:val="000000"/>
          <w:sz w:val="20"/>
          <w:szCs w:val="20"/>
          <w:lang w:eastAsia="fr-FR"/>
        </w:rPr>
        <w:br/>
        <w:t>Alias: https://www.legifrance.gouv.fr/eli/decret/2020/6/30/2020-828/jo/texte</w:t>
      </w:r>
    </w:p>
    <w:p w14:paraId="18774C8C" w14:textId="77777777" w:rsidR="008F4810" w:rsidRPr="008F4810" w:rsidRDefault="008F4810" w:rsidP="008F4810">
      <w:pPr>
        <w:shd w:val="clear" w:color="auto" w:fill="FFFFFF"/>
        <w:spacing w:before="180" w:after="180" w:line="240" w:lineRule="auto"/>
        <w:rPr>
          <w:rFonts w:ascii="Arial" w:eastAsia="Times New Roman" w:hAnsi="Arial" w:cs="Arial"/>
          <w:color w:val="000000"/>
          <w:sz w:val="19"/>
          <w:szCs w:val="19"/>
          <w:lang w:eastAsia="fr-FR"/>
        </w:rPr>
      </w:pPr>
      <w:r w:rsidRPr="008F4810">
        <w:rPr>
          <w:rFonts w:ascii="Arial" w:eastAsia="Times New Roman" w:hAnsi="Arial" w:cs="Arial"/>
          <w:color w:val="000000"/>
          <w:sz w:val="19"/>
          <w:szCs w:val="19"/>
          <w:lang w:eastAsia="fr-FR"/>
        </w:rPr>
        <w:br/>
        <w:t>Publics concernés : porteurs de projets, services de l'Etat.</w:t>
      </w:r>
      <w:r w:rsidRPr="008F4810">
        <w:rPr>
          <w:rFonts w:ascii="Arial" w:eastAsia="Times New Roman" w:hAnsi="Arial" w:cs="Arial"/>
          <w:color w:val="000000"/>
          <w:sz w:val="19"/>
          <w:szCs w:val="19"/>
          <w:lang w:eastAsia="fr-FR"/>
        </w:rPr>
        <w:br/>
        <w:t>Objet : modification de la nomenclature des installations, ouvrages, travaux et activités (IOTA) soumis à autorisation ou à déclaration au titre de la loi sur l'eau en application des </w:t>
      </w:r>
      <w:hyperlink r:id="rId4" w:history="1">
        <w:r w:rsidRPr="008F4810">
          <w:rPr>
            <w:rFonts w:ascii="Arial" w:eastAsia="Times New Roman" w:hAnsi="Arial" w:cs="Arial"/>
            <w:color w:val="336699"/>
            <w:sz w:val="19"/>
            <w:szCs w:val="19"/>
            <w:u w:val="single"/>
            <w:lang w:eastAsia="fr-FR"/>
          </w:rPr>
          <w:t>articles L. 214-1 à L. 214-6 du code de l'environnement</w:t>
        </w:r>
      </w:hyperlink>
      <w:r w:rsidRPr="008F4810">
        <w:rPr>
          <w:rFonts w:ascii="Arial" w:eastAsia="Times New Roman" w:hAnsi="Arial" w:cs="Arial"/>
          <w:color w:val="000000"/>
          <w:sz w:val="19"/>
          <w:szCs w:val="19"/>
          <w:lang w:eastAsia="fr-FR"/>
        </w:rPr>
        <w:t>.</w:t>
      </w:r>
      <w:r w:rsidRPr="008F4810">
        <w:rPr>
          <w:rFonts w:ascii="Arial" w:eastAsia="Times New Roman" w:hAnsi="Arial" w:cs="Arial"/>
          <w:color w:val="000000"/>
          <w:sz w:val="19"/>
          <w:szCs w:val="19"/>
          <w:lang w:eastAsia="fr-FR"/>
        </w:rPr>
        <w:br/>
        <w:t>Entrée en vigueur : le décret entre en vigueur au lendemain de sa publication à l'exception de l'article 5 qui entre en vigueur à compter du 1er janvier 2021 . Il prévoit toutefois des dispositions transitoires pour les articles 3, 4 et 6 qui ne sont applicables qu'aux demandes d'autorisation et aux déclarations déposées à compter du 1er septembre 2020.</w:t>
      </w:r>
      <w:r w:rsidRPr="008F4810">
        <w:rPr>
          <w:rFonts w:ascii="Arial" w:eastAsia="Times New Roman" w:hAnsi="Arial" w:cs="Arial"/>
          <w:color w:val="000000"/>
          <w:sz w:val="19"/>
          <w:szCs w:val="19"/>
          <w:lang w:eastAsia="fr-FR"/>
        </w:rPr>
        <w:br/>
        <w:t>Notice : le décret modifie la nomenclature relative aux installations, ouvrages, travaux et activités (IOTA) ayant une incidence sur l'eau ou le fonctionnement des écosystèmes aquatiques, dite nomenclature « loi sur l'eau », dans un objectif de simplification des procédures applicables. Cette réforme clarifie les périmètres de plusieurs rubriques, aborde de façon plus globale les enjeux environnementaux des projets en regroupant des rubriques concernant une même thématique et modifie la procédure applicable à certains projets. Elle porte sur les thématiques suivantes : assainissement, stockage de boues, rejets, plans d'eau et création d'une nouvelle rubrique relative à la restauration des fonctionnalités naturelles des milieux aquatiques afin d'alléger la procédure pour les projets favorables à la protection des milieux. Le décret désigne également l'autorité compétente pour définir la liste des agglomérations d'assainissement au sens de la directive relative au traitement des eaux urbaines résiduaires, et institue un registre dématérialisé pour les propriétaires des systèmes d'assainissement destinés à collecter et traiter une charge brute de pollution organique, au sens de l'</w:t>
      </w:r>
      <w:hyperlink r:id="rId5" w:history="1">
        <w:r w:rsidRPr="008F4810">
          <w:rPr>
            <w:rFonts w:ascii="Arial" w:eastAsia="Times New Roman" w:hAnsi="Arial" w:cs="Arial"/>
            <w:color w:val="336699"/>
            <w:sz w:val="19"/>
            <w:szCs w:val="19"/>
            <w:u w:val="single"/>
            <w:lang w:eastAsia="fr-FR"/>
          </w:rPr>
          <w:t>article R. 2224-6 du code général des collectivités territoriales</w:t>
        </w:r>
      </w:hyperlink>
      <w:r w:rsidRPr="008F4810">
        <w:rPr>
          <w:rFonts w:ascii="Arial" w:eastAsia="Times New Roman" w:hAnsi="Arial" w:cs="Arial"/>
          <w:color w:val="000000"/>
          <w:sz w:val="19"/>
          <w:szCs w:val="19"/>
          <w:lang w:eastAsia="fr-FR"/>
        </w:rPr>
        <w:t>, inférieure ou égale à 12 kg et supérieure à 1,2 kg.</w:t>
      </w:r>
      <w:r w:rsidRPr="008F4810">
        <w:rPr>
          <w:rFonts w:ascii="Arial" w:eastAsia="Times New Roman" w:hAnsi="Arial" w:cs="Arial"/>
          <w:color w:val="000000"/>
          <w:sz w:val="19"/>
          <w:szCs w:val="19"/>
          <w:lang w:eastAsia="fr-FR"/>
        </w:rPr>
        <w:br/>
        <w:t>Références : le décret est pris en application de l'</w:t>
      </w:r>
      <w:hyperlink r:id="rId6" w:history="1">
        <w:r w:rsidRPr="008F4810">
          <w:rPr>
            <w:rFonts w:ascii="Arial" w:eastAsia="Times New Roman" w:hAnsi="Arial" w:cs="Arial"/>
            <w:color w:val="336699"/>
            <w:sz w:val="19"/>
            <w:szCs w:val="19"/>
            <w:u w:val="single"/>
            <w:lang w:eastAsia="fr-FR"/>
          </w:rPr>
          <w:t>article L. 214-2 du code de l'environnement</w:t>
        </w:r>
      </w:hyperlink>
      <w:r w:rsidRPr="008F4810">
        <w:rPr>
          <w:rFonts w:ascii="Arial" w:eastAsia="Times New Roman" w:hAnsi="Arial" w:cs="Arial"/>
          <w:color w:val="000000"/>
          <w:sz w:val="19"/>
          <w:szCs w:val="19"/>
          <w:lang w:eastAsia="fr-FR"/>
        </w:rPr>
        <w:t>. Les textes modifiés par le décret peuvent être consultés, dans leur rédaction issue de cette modification, sur le site Légifrance (https://legifrance.gouv.fr).</w:t>
      </w:r>
    </w:p>
    <w:p w14:paraId="33C04A69" w14:textId="77777777" w:rsidR="008F4810" w:rsidRPr="008F4810" w:rsidRDefault="008F4810" w:rsidP="008F4810">
      <w:pPr>
        <w:shd w:val="clear" w:color="auto" w:fill="FFFFFF"/>
        <w:spacing w:before="180" w:after="180" w:line="240" w:lineRule="auto"/>
        <w:rPr>
          <w:rFonts w:ascii="Arial" w:eastAsia="Times New Roman" w:hAnsi="Arial" w:cs="Arial"/>
          <w:color w:val="000000"/>
          <w:sz w:val="19"/>
          <w:szCs w:val="19"/>
          <w:lang w:eastAsia="fr-FR"/>
        </w:rPr>
      </w:pPr>
      <w:r w:rsidRPr="008F4810">
        <w:rPr>
          <w:rFonts w:ascii="Arial" w:eastAsia="Times New Roman" w:hAnsi="Arial" w:cs="Arial"/>
          <w:color w:val="000000"/>
          <w:sz w:val="19"/>
          <w:szCs w:val="19"/>
          <w:lang w:eastAsia="fr-FR"/>
        </w:rPr>
        <w:br/>
        <w:t>Le Premier ministre,</w:t>
      </w:r>
      <w:r w:rsidRPr="008F4810">
        <w:rPr>
          <w:rFonts w:ascii="Arial" w:eastAsia="Times New Roman" w:hAnsi="Arial" w:cs="Arial"/>
          <w:color w:val="000000"/>
          <w:sz w:val="19"/>
          <w:szCs w:val="19"/>
          <w:lang w:eastAsia="fr-FR"/>
        </w:rPr>
        <w:br/>
        <w:t>Sur le rapport de la ministre de la transition écologique et solidaire,</w:t>
      </w:r>
      <w:r w:rsidRPr="008F4810">
        <w:rPr>
          <w:rFonts w:ascii="Arial" w:eastAsia="Times New Roman" w:hAnsi="Arial" w:cs="Arial"/>
          <w:color w:val="000000"/>
          <w:sz w:val="19"/>
          <w:szCs w:val="19"/>
          <w:lang w:eastAsia="fr-FR"/>
        </w:rPr>
        <w:br/>
        <w:t>Vu le </w:t>
      </w:r>
      <w:hyperlink r:id="rId7" w:history="1">
        <w:r w:rsidRPr="008F4810">
          <w:rPr>
            <w:rFonts w:ascii="Arial" w:eastAsia="Times New Roman" w:hAnsi="Arial" w:cs="Arial"/>
            <w:color w:val="336699"/>
            <w:sz w:val="19"/>
            <w:szCs w:val="19"/>
            <w:u w:val="single"/>
            <w:lang w:eastAsia="fr-FR"/>
          </w:rPr>
          <w:t>code de l'environnement</w:t>
        </w:r>
      </w:hyperlink>
      <w:r w:rsidRPr="008F4810">
        <w:rPr>
          <w:rFonts w:ascii="Arial" w:eastAsia="Times New Roman" w:hAnsi="Arial" w:cs="Arial"/>
          <w:color w:val="000000"/>
          <w:sz w:val="19"/>
          <w:szCs w:val="19"/>
          <w:lang w:eastAsia="fr-FR"/>
        </w:rPr>
        <w:t>, notamment ses articles L. 211-1, L. 211-2, L. 214-2 et L. 214-3 ;</w:t>
      </w:r>
      <w:r w:rsidRPr="008F4810">
        <w:rPr>
          <w:rFonts w:ascii="Arial" w:eastAsia="Times New Roman" w:hAnsi="Arial" w:cs="Arial"/>
          <w:color w:val="000000"/>
          <w:sz w:val="19"/>
          <w:szCs w:val="19"/>
          <w:lang w:eastAsia="fr-FR"/>
        </w:rPr>
        <w:br/>
        <w:t>Vu le </w:t>
      </w:r>
      <w:hyperlink r:id="rId8" w:history="1">
        <w:r w:rsidRPr="008F4810">
          <w:rPr>
            <w:rFonts w:ascii="Arial" w:eastAsia="Times New Roman" w:hAnsi="Arial" w:cs="Arial"/>
            <w:color w:val="336699"/>
            <w:sz w:val="19"/>
            <w:szCs w:val="19"/>
            <w:u w:val="single"/>
            <w:lang w:eastAsia="fr-FR"/>
          </w:rPr>
          <w:t>code général des collectivités territoriales</w:t>
        </w:r>
      </w:hyperlink>
      <w:r w:rsidRPr="008F4810">
        <w:rPr>
          <w:rFonts w:ascii="Arial" w:eastAsia="Times New Roman" w:hAnsi="Arial" w:cs="Arial"/>
          <w:color w:val="000000"/>
          <w:sz w:val="19"/>
          <w:szCs w:val="19"/>
          <w:lang w:eastAsia="fr-FR"/>
        </w:rPr>
        <w:t>, notamment ses articles L. 2224-7, L. 2224-8, L. 2224-10 et R. 2224-6 ;</w:t>
      </w:r>
      <w:r w:rsidRPr="008F4810">
        <w:rPr>
          <w:rFonts w:ascii="Arial" w:eastAsia="Times New Roman" w:hAnsi="Arial" w:cs="Arial"/>
          <w:color w:val="000000"/>
          <w:sz w:val="19"/>
          <w:szCs w:val="19"/>
          <w:lang w:eastAsia="fr-FR"/>
        </w:rPr>
        <w:br/>
        <w:t>Vu l'avis de la mission interministérielle de l'eau en date du 7 mars 2019 ;</w:t>
      </w:r>
      <w:r w:rsidRPr="008F4810">
        <w:rPr>
          <w:rFonts w:ascii="Arial" w:eastAsia="Times New Roman" w:hAnsi="Arial" w:cs="Arial"/>
          <w:color w:val="000000"/>
          <w:sz w:val="19"/>
          <w:szCs w:val="19"/>
          <w:lang w:eastAsia="fr-FR"/>
        </w:rPr>
        <w:br/>
        <w:t>Vu l'avis du Comité national de l'eau en date du 12 mars 2019 ;</w:t>
      </w:r>
      <w:r w:rsidRPr="008F4810">
        <w:rPr>
          <w:rFonts w:ascii="Arial" w:eastAsia="Times New Roman" w:hAnsi="Arial" w:cs="Arial"/>
          <w:color w:val="000000"/>
          <w:sz w:val="19"/>
          <w:szCs w:val="19"/>
          <w:lang w:eastAsia="fr-FR"/>
        </w:rPr>
        <w:br/>
        <w:t>Vu l'avis du Conseil national d'évaluation des normes en date du 4 avril 2019 ;</w:t>
      </w:r>
      <w:r w:rsidRPr="008F4810">
        <w:rPr>
          <w:rFonts w:ascii="Arial" w:eastAsia="Times New Roman" w:hAnsi="Arial" w:cs="Arial"/>
          <w:color w:val="000000"/>
          <w:sz w:val="19"/>
          <w:szCs w:val="19"/>
          <w:lang w:eastAsia="fr-FR"/>
        </w:rPr>
        <w:br/>
        <w:t>Vu l'avis du Conseil supérieur de la prévention des risques en date du 7 mai 2019 ;</w:t>
      </w:r>
      <w:r w:rsidRPr="008F4810">
        <w:rPr>
          <w:rFonts w:ascii="Arial" w:eastAsia="Times New Roman" w:hAnsi="Arial" w:cs="Arial"/>
          <w:color w:val="000000"/>
          <w:sz w:val="19"/>
          <w:szCs w:val="19"/>
          <w:lang w:eastAsia="fr-FR"/>
        </w:rPr>
        <w:br/>
        <w:t>Vu les observations formulées lors de la consultation du public réalisée du 3 mai 2019 au 26 mai 2019, en application de l'</w:t>
      </w:r>
      <w:hyperlink r:id="rId9" w:history="1">
        <w:r w:rsidRPr="008F4810">
          <w:rPr>
            <w:rFonts w:ascii="Arial" w:eastAsia="Times New Roman" w:hAnsi="Arial" w:cs="Arial"/>
            <w:color w:val="336699"/>
            <w:sz w:val="19"/>
            <w:szCs w:val="19"/>
            <w:u w:val="single"/>
            <w:lang w:eastAsia="fr-FR"/>
          </w:rPr>
          <w:t>article L. 123-19-1 du code de l'environnement</w:t>
        </w:r>
      </w:hyperlink>
      <w:r w:rsidRPr="008F4810">
        <w:rPr>
          <w:rFonts w:ascii="Arial" w:eastAsia="Times New Roman" w:hAnsi="Arial" w:cs="Arial"/>
          <w:color w:val="000000"/>
          <w:sz w:val="19"/>
          <w:szCs w:val="19"/>
          <w:lang w:eastAsia="fr-FR"/>
        </w:rPr>
        <w:t> ;</w:t>
      </w:r>
      <w:r w:rsidRPr="008F4810">
        <w:rPr>
          <w:rFonts w:ascii="Arial" w:eastAsia="Times New Roman" w:hAnsi="Arial" w:cs="Arial"/>
          <w:color w:val="000000"/>
          <w:sz w:val="19"/>
          <w:szCs w:val="19"/>
          <w:lang w:eastAsia="fr-FR"/>
        </w:rPr>
        <w:br/>
        <w:t>Le Conseil d'Etat (section des travaux publics) entendu,</w:t>
      </w:r>
      <w:r w:rsidRPr="008F4810">
        <w:rPr>
          <w:rFonts w:ascii="Arial" w:eastAsia="Times New Roman" w:hAnsi="Arial" w:cs="Arial"/>
          <w:color w:val="000000"/>
          <w:sz w:val="19"/>
          <w:szCs w:val="19"/>
          <w:lang w:eastAsia="fr-FR"/>
        </w:rPr>
        <w:br/>
        <w:t>Décrète :</w:t>
      </w:r>
    </w:p>
    <w:p w14:paraId="72F376C8" w14:textId="77777777" w:rsidR="008F4810" w:rsidRPr="008F4810" w:rsidRDefault="008F4810" w:rsidP="008F4810">
      <w:pPr>
        <w:shd w:val="clear" w:color="auto" w:fill="FFFFFF"/>
        <w:spacing w:after="0" w:line="240" w:lineRule="auto"/>
        <w:jc w:val="center"/>
        <w:rPr>
          <w:rFonts w:ascii="Arial" w:eastAsia="Times New Roman" w:hAnsi="Arial" w:cs="Arial"/>
          <w:b/>
          <w:bCs/>
          <w:color w:val="000000"/>
          <w:sz w:val="23"/>
          <w:szCs w:val="23"/>
          <w:lang w:eastAsia="fr-FR"/>
        </w:rPr>
      </w:pPr>
      <w:bookmarkStart w:id="0" w:name="JORFARTI000042070972"/>
      <w:bookmarkEnd w:id="0"/>
      <w:r w:rsidRPr="008F4810">
        <w:rPr>
          <w:rFonts w:ascii="Arial" w:eastAsia="Times New Roman" w:hAnsi="Arial" w:cs="Arial"/>
          <w:b/>
          <w:bCs/>
          <w:color w:val="000000"/>
          <w:sz w:val="23"/>
          <w:szCs w:val="23"/>
          <w:lang w:eastAsia="fr-FR"/>
        </w:rPr>
        <w:t>Article 1 </w:t>
      </w:r>
      <w:hyperlink r:id="rId10" w:tooltip="En savoir plus sur l'article 1" w:history="1">
        <w:r w:rsidRPr="008F4810">
          <w:rPr>
            <w:rFonts w:ascii="Arial" w:eastAsia="Times New Roman" w:hAnsi="Arial" w:cs="Arial"/>
            <w:b/>
            <w:bCs/>
            <w:color w:val="336699"/>
            <w:sz w:val="23"/>
            <w:szCs w:val="23"/>
            <w:u w:val="single"/>
            <w:lang w:eastAsia="fr-FR"/>
          </w:rPr>
          <w:t>En savoir plus sur cet article...</w:t>
        </w:r>
      </w:hyperlink>
    </w:p>
    <w:p w14:paraId="0120D24B" w14:textId="77777777" w:rsidR="008F4810" w:rsidRPr="008F4810" w:rsidRDefault="008F4810" w:rsidP="008F4810">
      <w:pPr>
        <w:shd w:val="clear" w:color="auto" w:fill="FFFFFF"/>
        <w:spacing w:before="180" w:line="240" w:lineRule="auto"/>
        <w:rPr>
          <w:rFonts w:ascii="Arial" w:eastAsia="Times New Roman" w:hAnsi="Arial" w:cs="Arial"/>
          <w:color w:val="000000"/>
          <w:sz w:val="19"/>
          <w:szCs w:val="19"/>
          <w:lang w:eastAsia="fr-FR"/>
        </w:rPr>
      </w:pPr>
      <w:r w:rsidRPr="008F4810">
        <w:rPr>
          <w:rFonts w:ascii="Arial" w:eastAsia="Times New Roman" w:hAnsi="Arial" w:cs="Arial"/>
          <w:color w:val="000000"/>
          <w:sz w:val="19"/>
          <w:szCs w:val="19"/>
          <w:lang w:eastAsia="fr-FR"/>
        </w:rPr>
        <w:br/>
        <w:t>Le code de l'environnement (partie réglementaire) est modifié conformément aux articles 2 à 6 du présent décret.</w:t>
      </w:r>
    </w:p>
    <w:p w14:paraId="63302FA1" w14:textId="77777777" w:rsidR="008F4810" w:rsidRPr="008F4810" w:rsidRDefault="008F4810" w:rsidP="008F4810">
      <w:pPr>
        <w:shd w:val="clear" w:color="auto" w:fill="FFFFFF"/>
        <w:spacing w:after="0" w:line="240" w:lineRule="auto"/>
        <w:jc w:val="center"/>
        <w:rPr>
          <w:rFonts w:ascii="Arial" w:eastAsia="Times New Roman" w:hAnsi="Arial" w:cs="Arial"/>
          <w:b/>
          <w:bCs/>
          <w:color w:val="000000"/>
          <w:sz w:val="23"/>
          <w:szCs w:val="23"/>
          <w:lang w:eastAsia="fr-FR"/>
        </w:rPr>
      </w:pPr>
      <w:bookmarkStart w:id="1" w:name="JORFARTI000042070973"/>
      <w:bookmarkEnd w:id="1"/>
      <w:r w:rsidRPr="008F4810">
        <w:rPr>
          <w:rFonts w:ascii="Arial" w:eastAsia="Times New Roman" w:hAnsi="Arial" w:cs="Arial"/>
          <w:b/>
          <w:bCs/>
          <w:color w:val="000000"/>
          <w:sz w:val="23"/>
          <w:szCs w:val="23"/>
          <w:lang w:eastAsia="fr-FR"/>
        </w:rPr>
        <w:t>Article 2 </w:t>
      </w:r>
      <w:hyperlink r:id="rId11" w:tooltip="En savoir plus sur l'article 2" w:history="1">
        <w:r w:rsidRPr="008F4810">
          <w:rPr>
            <w:rFonts w:ascii="Arial" w:eastAsia="Times New Roman" w:hAnsi="Arial" w:cs="Arial"/>
            <w:b/>
            <w:bCs/>
            <w:color w:val="336699"/>
            <w:sz w:val="23"/>
            <w:szCs w:val="23"/>
            <w:u w:val="single"/>
            <w:lang w:eastAsia="fr-FR"/>
          </w:rPr>
          <w:t>En savoir plus sur cet article...</w:t>
        </w:r>
      </w:hyperlink>
    </w:p>
    <w:p w14:paraId="4AA03005" w14:textId="77777777" w:rsidR="008F4810" w:rsidRPr="008F4810" w:rsidRDefault="008F4810" w:rsidP="008F4810">
      <w:pPr>
        <w:shd w:val="clear" w:color="auto" w:fill="FFFFFF"/>
        <w:spacing w:before="180" w:line="240" w:lineRule="auto"/>
        <w:rPr>
          <w:rFonts w:ascii="Arial" w:eastAsia="Times New Roman" w:hAnsi="Arial" w:cs="Arial"/>
          <w:color w:val="000000"/>
          <w:sz w:val="19"/>
          <w:szCs w:val="19"/>
          <w:lang w:eastAsia="fr-FR"/>
        </w:rPr>
      </w:pPr>
      <w:r w:rsidRPr="008F4810">
        <w:rPr>
          <w:rFonts w:ascii="Arial" w:eastAsia="Times New Roman" w:hAnsi="Arial" w:cs="Arial"/>
          <w:color w:val="000000"/>
          <w:sz w:val="19"/>
          <w:szCs w:val="19"/>
          <w:lang w:eastAsia="fr-FR"/>
        </w:rPr>
        <w:lastRenderedPageBreak/>
        <w:br/>
        <w:t>Au V de l'article R. 211-34, les mots : «à l'article R. 211-39 » sont remplacés par les mots : « aux articles R. 211-33 et R. 211-39 ».</w:t>
      </w:r>
    </w:p>
    <w:p w14:paraId="7E5F10C5" w14:textId="77777777" w:rsidR="008F4810" w:rsidRPr="008F4810" w:rsidRDefault="008F4810" w:rsidP="008F4810">
      <w:pPr>
        <w:shd w:val="clear" w:color="auto" w:fill="FFFFFF"/>
        <w:spacing w:after="0" w:line="240" w:lineRule="auto"/>
        <w:jc w:val="center"/>
        <w:rPr>
          <w:rFonts w:ascii="Arial" w:eastAsia="Times New Roman" w:hAnsi="Arial" w:cs="Arial"/>
          <w:b/>
          <w:bCs/>
          <w:color w:val="000000"/>
          <w:sz w:val="23"/>
          <w:szCs w:val="23"/>
          <w:lang w:eastAsia="fr-FR"/>
        </w:rPr>
      </w:pPr>
      <w:bookmarkStart w:id="2" w:name="JORFARTI000042070976"/>
      <w:bookmarkEnd w:id="2"/>
      <w:r w:rsidRPr="008F4810">
        <w:rPr>
          <w:rFonts w:ascii="Arial" w:eastAsia="Times New Roman" w:hAnsi="Arial" w:cs="Arial"/>
          <w:b/>
          <w:bCs/>
          <w:color w:val="000000"/>
          <w:sz w:val="23"/>
          <w:szCs w:val="23"/>
          <w:lang w:eastAsia="fr-FR"/>
        </w:rPr>
        <w:t>Article 3 </w:t>
      </w:r>
      <w:hyperlink r:id="rId12" w:tooltip="En savoir plus sur l'article 3" w:history="1">
        <w:r w:rsidRPr="008F4810">
          <w:rPr>
            <w:rFonts w:ascii="Arial" w:eastAsia="Times New Roman" w:hAnsi="Arial" w:cs="Arial"/>
            <w:b/>
            <w:bCs/>
            <w:color w:val="336699"/>
            <w:sz w:val="23"/>
            <w:szCs w:val="23"/>
            <w:u w:val="single"/>
            <w:lang w:eastAsia="fr-FR"/>
          </w:rPr>
          <w:t>En savoir plus sur cet article...</w:t>
        </w:r>
      </w:hyperlink>
    </w:p>
    <w:p w14:paraId="2013576B" w14:textId="77777777" w:rsidR="008F4810" w:rsidRPr="008F4810" w:rsidRDefault="008F4810" w:rsidP="008F4810">
      <w:pPr>
        <w:shd w:val="clear" w:color="auto" w:fill="FFFFFF"/>
        <w:spacing w:before="180" w:line="240" w:lineRule="auto"/>
        <w:rPr>
          <w:rFonts w:ascii="Arial" w:eastAsia="Times New Roman" w:hAnsi="Arial" w:cs="Arial"/>
          <w:color w:val="000000"/>
          <w:sz w:val="19"/>
          <w:szCs w:val="19"/>
          <w:lang w:eastAsia="fr-FR"/>
        </w:rPr>
      </w:pPr>
      <w:r w:rsidRPr="008F4810">
        <w:rPr>
          <w:rFonts w:ascii="Arial" w:eastAsia="Times New Roman" w:hAnsi="Arial" w:cs="Arial"/>
          <w:color w:val="000000"/>
          <w:sz w:val="19"/>
          <w:szCs w:val="19"/>
          <w:lang w:eastAsia="fr-FR"/>
        </w:rPr>
        <w:br/>
        <w:t>Le tableau annexé à l'article R. 214-1 est ainsi modifié :</w:t>
      </w:r>
      <w:r w:rsidRPr="008F4810">
        <w:rPr>
          <w:rFonts w:ascii="Arial" w:eastAsia="Times New Roman" w:hAnsi="Arial" w:cs="Arial"/>
          <w:color w:val="000000"/>
          <w:sz w:val="19"/>
          <w:szCs w:val="19"/>
          <w:lang w:eastAsia="fr-FR"/>
        </w:rPr>
        <w:br/>
        <w:t>a) Au deuxième alinéa, les mots : « R2, » sont supprimés ;</w:t>
      </w:r>
      <w:r w:rsidRPr="008F4810">
        <w:rPr>
          <w:rFonts w:ascii="Arial" w:eastAsia="Times New Roman" w:hAnsi="Arial" w:cs="Arial"/>
          <w:color w:val="000000"/>
          <w:sz w:val="19"/>
          <w:szCs w:val="19"/>
          <w:lang w:eastAsia="fr-FR"/>
        </w:rPr>
        <w:br/>
        <w:t>b) Les rubriques 2.1.1.0. et 2.1.2.0. sont remplacées par une rubrique 2.1.1.0. ainsi rédigée :</w:t>
      </w:r>
      <w:r w:rsidRPr="008F4810">
        <w:rPr>
          <w:rFonts w:ascii="Arial" w:eastAsia="Times New Roman" w:hAnsi="Arial" w:cs="Arial"/>
          <w:color w:val="000000"/>
          <w:sz w:val="19"/>
          <w:szCs w:val="19"/>
          <w:lang w:eastAsia="fr-FR"/>
        </w:rPr>
        <w:br/>
        <w:t>« 2.1.1.0. Systèmes d'assainissement collectif des eaux usées et installations d'assainissement non collectif destinés à collecter et traiter une charge brute de pollution organique au sens de l'</w:t>
      </w:r>
      <w:hyperlink r:id="rId13" w:history="1">
        <w:r w:rsidRPr="008F4810">
          <w:rPr>
            <w:rFonts w:ascii="Arial" w:eastAsia="Times New Roman" w:hAnsi="Arial" w:cs="Arial"/>
            <w:color w:val="336699"/>
            <w:sz w:val="19"/>
            <w:szCs w:val="19"/>
            <w:u w:val="single"/>
            <w:lang w:eastAsia="fr-FR"/>
          </w:rPr>
          <w:t>article R. 2224-6 du code général des collectivités territoriales </w:t>
        </w:r>
      </w:hyperlink>
      <w:r w:rsidRPr="008F4810">
        <w:rPr>
          <w:rFonts w:ascii="Arial" w:eastAsia="Times New Roman" w:hAnsi="Arial" w:cs="Arial"/>
          <w:color w:val="000000"/>
          <w:sz w:val="19"/>
          <w:szCs w:val="19"/>
          <w:lang w:eastAsia="fr-FR"/>
        </w:rPr>
        <w:t>:</w:t>
      </w:r>
      <w:r w:rsidRPr="008F4810">
        <w:rPr>
          <w:rFonts w:ascii="Arial" w:eastAsia="Times New Roman" w:hAnsi="Arial" w:cs="Arial"/>
          <w:color w:val="000000"/>
          <w:sz w:val="19"/>
          <w:szCs w:val="19"/>
          <w:lang w:eastAsia="fr-FR"/>
        </w:rPr>
        <w:br/>
        <w:t>« 1° Supérieure à 600 kg de DBO5 (A) ;</w:t>
      </w:r>
      <w:r w:rsidRPr="008F4810">
        <w:rPr>
          <w:rFonts w:ascii="Arial" w:eastAsia="Times New Roman" w:hAnsi="Arial" w:cs="Arial"/>
          <w:color w:val="000000"/>
          <w:sz w:val="19"/>
          <w:szCs w:val="19"/>
          <w:lang w:eastAsia="fr-FR"/>
        </w:rPr>
        <w:br/>
        <w:t>« 2° Supérieure à 12 kg de DBO5, mais inférieure ou égale à 600 kg de DBO5 (D).</w:t>
      </w:r>
      <w:r w:rsidRPr="008F4810">
        <w:rPr>
          <w:rFonts w:ascii="Arial" w:eastAsia="Times New Roman" w:hAnsi="Arial" w:cs="Arial"/>
          <w:color w:val="000000"/>
          <w:sz w:val="19"/>
          <w:szCs w:val="19"/>
          <w:lang w:eastAsia="fr-FR"/>
        </w:rPr>
        <w:br/>
        <w:t>« Un système d'assainissement collectif est constitué d'un système de collecte, d'une station de traitement des eaux usées et des ouvrages assurant l'évacuation des eaux usées traitées vers le milieu récepteur, relevant en tout ou partie d'un ou plusieurs services publics d'assainissement mentionnés au </w:t>
      </w:r>
      <w:hyperlink r:id="rId14" w:history="1">
        <w:r w:rsidRPr="008F4810">
          <w:rPr>
            <w:rFonts w:ascii="Arial" w:eastAsia="Times New Roman" w:hAnsi="Arial" w:cs="Arial"/>
            <w:color w:val="336699"/>
            <w:sz w:val="19"/>
            <w:szCs w:val="19"/>
            <w:u w:val="single"/>
            <w:lang w:eastAsia="fr-FR"/>
          </w:rPr>
          <w:t>II de l'article L. 2224-7 du code général des collectivités territoriales</w:t>
        </w:r>
      </w:hyperlink>
      <w:r w:rsidRPr="008F4810">
        <w:rPr>
          <w:rFonts w:ascii="Arial" w:eastAsia="Times New Roman" w:hAnsi="Arial" w:cs="Arial"/>
          <w:color w:val="000000"/>
          <w:sz w:val="19"/>
          <w:szCs w:val="19"/>
          <w:lang w:eastAsia="fr-FR"/>
        </w:rPr>
        <w:t>. Dans le cas où des stations de traitement des eaux usées sont interconnectées, elles constituent avec les systèmes de collecte associés un unique système d'assainissement. Il en est de même lorsque l'interconnexion se fait au niveau de plusieurs systèmes de collecte.</w:t>
      </w:r>
      <w:r w:rsidRPr="008F4810">
        <w:rPr>
          <w:rFonts w:ascii="Arial" w:eastAsia="Times New Roman" w:hAnsi="Arial" w:cs="Arial"/>
          <w:color w:val="000000"/>
          <w:sz w:val="19"/>
          <w:szCs w:val="19"/>
          <w:lang w:eastAsia="fr-FR"/>
        </w:rPr>
        <w:br/>
        <w:t>« Une installation d'assainissement non collectif est une installation assurant la collecte, le transport, le traitement et l'évacuation des eaux usées domestiques ou assimilées des immeubles ou parties d'immeubles non raccordés à un réseau public de collecte des eaux usées. » ;</w:t>
      </w:r>
      <w:r w:rsidRPr="008F4810">
        <w:rPr>
          <w:rFonts w:ascii="Arial" w:eastAsia="Times New Roman" w:hAnsi="Arial" w:cs="Arial"/>
          <w:color w:val="000000"/>
          <w:sz w:val="19"/>
          <w:szCs w:val="19"/>
          <w:lang w:eastAsia="fr-FR"/>
        </w:rPr>
        <w:br/>
        <w:t>c) La rubrique 2.1.3.0. est remplacée par une rubrique 2.1.3.0. ainsi rédigée :</w:t>
      </w:r>
      <w:r w:rsidRPr="008F4810">
        <w:rPr>
          <w:rFonts w:ascii="Arial" w:eastAsia="Times New Roman" w:hAnsi="Arial" w:cs="Arial"/>
          <w:color w:val="000000"/>
          <w:sz w:val="19"/>
          <w:szCs w:val="19"/>
          <w:lang w:eastAsia="fr-FR"/>
        </w:rPr>
        <w:br/>
        <w:t>« 2.1.3.0. Epandage et stockage en vue d'épandage de boues produites dans un ou plusieurs systèmes d'assainissement collectif des eaux usées et installations d'assainissement non collectif, la quantité de boues épandues dans l'année présentant les caractéristiques suivantes :</w:t>
      </w:r>
      <w:r w:rsidRPr="008F4810">
        <w:rPr>
          <w:rFonts w:ascii="Arial" w:eastAsia="Times New Roman" w:hAnsi="Arial" w:cs="Arial"/>
          <w:color w:val="000000"/>
          <w:sz w:val="19"/>
          <w:szCs w:val="19"/>
          <w:lang w:eastAsia="fr-FR"/>
        </w:rPr>
        <w:br/>
        <w:t>« 1° Quantité épandue de matière sèche supérieure à 800 t/ an ou azote total supérieur à 40 t/ an (A) ;</w:t>
      </w:r>
      <w:r w:rsidRPr="008F4810">
        <w:rPr>
          <w:rFonts w:ascii="Arial" w:eastAsia="Times New Roman" w:hAnsi="Arial" w:cs="Arial"/>
          <w:color w:val="000000"/>
          <w:sz w:val="19"/>
          <w:szCs w:val="19"/>
          <w:lang w:eastAsia="fr-FR"/>
        </w:rPr>
        <w:br/>
        <w:t>« 2° Quantité épandue de matière sèche comprise entre 3 et 800 t/ an ou azote total compris entre 0,15 t/ an et 40 t/ an (D).</w:t>
      </w:r>
      <w:r w:rsidRPr="008F4810">
        <w:rPr>
          <w:rFonts w:ascii="Arial" w:eastAsia="Times New Roman" w:hAnsi="Arial" w:cs="Arial"/>
          <w:color w:val="000000"/>
          <w:sz w:val="19"/>
          <w:szCs w:val="19"/>
          <w:lang w:eastAsia="fr-FR"/>
        </w:rPr>
        <w:br/>
        <w:t>« Pour l'application de ces seuils, sont à prendre en compte les volumes et quantités maximales de boues destinées à l'épandage dans les systèmes d'assainissement collectif des eaux usées et installations d'assainissement non collectif concernés. » ;</w:t>
      </w:r>
      <w:r w:rsidRPr="008F4810">
        <w:rPr>
          <w:rFonts w:ascii="Arial" w:eastAsia="Times New Roman" w:hAnsi="Arial" w:cs="Arial"/>
          <w:color w:val="000000"/>
          <w:sz w:val="19"/>
          <w:szCs w:val="19"/>
          <w:lang w:eastAsia="fr-FR"/>
        </w:rPr>
        <w:br/>
        <w:t>d) La rubrique 2.2.1.0. est remplacée par une rubrique 2.2.1.0. ainsi rédigée :</w:t>
      </w:r>
      <w:r w:rsidRPr="008F4810">
        <w:rPr>
          <w:rFonts w:ascii="Arial" w:eastAsia="Times New Roman" w:hAnsi="Arial" w:cs="Arial"/>
          <w:color w:val="000000"/>
          <w:sz w:val="19"/>
          <w:szCs w:val="19"/>
          <w:lang w:eastAsia="fr-FR"/>
        </w:rPr>
        <w:br/>
        <w:t>« 2.2.1.0. Rejet dans les eaux douces superficielles susceptible de modifier le régime des eaux, à l'exclusion des rejets mentionnés à la rubrique 2.1.5.0 ainsi que des rejets des ouvrages mentionnés à la rubrique 2.1.1.0, la capacité totale de rejet de l'ouvrage étant supérieure à 2 000 m3/ j ou à 5 % du débit moyen interannuel du cours d'eau (D). » ;</w:t>
      </w:r>
      <w:r w:rsidRPr="008F4810">
        <w:rPr>
          <w:rFonts w:ascii="Arial" w:eastAsia="Times New Roman" w:hAnsi="Arial" w:cs="Arial"/>
          <w:color w:val="000000"/>
          <w:sz w:val="19"/>
          <w:szCs w:val="19"/>
          <w:lang w:eastAsia="fr-FR"/>
        </w:rPr>
        <w:br/>
        <w:t>e) Les rubriques 2.2.3.0. et 2.2.4.0. sont remplacées par une rubrique 2.2.3.0. ainsi rédigée :</w:t>
      </w:r>
      <w:r w:rsidRPr="008F4810">
        <w:rPr>
          <w:rFonts w:ascii="Arial" w:eastAsia="Times New Roman" w:hAnsi="Arial" w:cs="Arial"/>
          <w:color w:val="000000"/>
          <w:sz w:val="19"/>
          <w:szCs w:val="19"/>
          <w:lang w:eastAsia="fr-FR"/>
        </w:rPr>
        <w:br/>
        <w:t>« 2.2.3.0. Rejet dans les eaux de surface, à l'exclusion des rejets réglementés au titre des autres rubriques de la présente nomenclature ou de la nomenclature des installations classées annexée à l'article R. 511-9, le flux total de pollution, le cas échéant avant traitement, étant supérieur ou égal au niveau de référence R1 pour l'un au moins des paramètres qui y figurent (D). » ;</w:t>
      </w:r>
      <w:r w:rsidRPr="008F4810">
        <w:rPr>
          <w:rFonts w:ascii="Arial" w:eastAsia="Times New Roman" w:hAnsi="Arial" w:cs="Arial"/>
          <w:color w:val="000000"/>
          <w:sz w:val="19"/>
          <w:szCs w:val="19"/>
          <w:lang w:eastAsia="fr-FR"/>
        </w:rPr>
        <w:br/>
        <w:t>f) Les rubriques 3.2.3.0. et 3.2.4.0. sont remplacées par une rubrique 3.2.3.0. ainsi rédigée :</w:t>
      </w:r>
      <w:r w:rsidRPr="008F4810">
        <w:rPr>
          <w:rFonts w:ascii="Arial" w:eastAsia="Times New Roman" w:hAnsi="Arial" w:cs="Arial"/>
          <w:color w:val="000000"/>
          <w:sz w:val="19"/>
          <w:szCs w:val="19"/>
          <w:lang w:eastAsia="fr-FR"/>
        </w:rPr>
        <w:br/>
        <w:t>« 3.2.3.0. Plans d'eau, permanents ou non :</w:t>
      </w:r>
      <w:r w:rsidRPr="008F4810">
        <w:rPr>
          <w:rFonts w:ascii="Arial" w:eastAsia="Times New Roman" w:hAnsi="Arial" w:cs="Arial"/>
          <w:color w:val="000000"/>
          <w:sz w:val="19"/>
          <w:szCs w:val="19"/>
          <w:lang w:eastAsia="fr-FR"/>
        </w:rPr>
        <w:br/>
        <w:t>« 1° Dont la superficie est supérieure ou égale à 3 ha (A) ;</w:t>
      </w:r>
      <w:r w:rsidRPr="008F4810">
        <w:rPr>
          <w:rFonts w:ascii="Arial" w:eastAsia="Times New Roman" w:hAnsi="Arial" w:cs="Arial"/>
          <w:color w:val="000000"/>
          <w:sz w:val="19"/>
          <w:szCs w:val="19"/>
          <w:lang w:eastAsia="fr-FR"/>
        </w:rPr>
        <w:br/>
        <w:t>« 2° Dont la superficie est supérieure à 0,1 ha mais inférieure à 3 ha (D).</w:t>
      </w:r>
      <w:r w:rsidRPr="008F4810">
        <w:rPr>
          <w:rFonts w:ascii="Arial" w:eastAsia="Times New Roman" w:hAnsi="Arial" w:cs="Arial"/>
          <w:color w:val="000000"/>
          <w:sz w:val="19"/>
          <w:szCs w:val="19"/>
          <w:lang w:eastAsia="fr-FR"/>
        </w:rPr>
        <w:br/>
        <w:t>« Ne constituent pas des plans d'eau au sens de la présente rubrique les étendues d'eau réglementées au titre des rubriques 2.1.1.0., 2.1.5.0. et 3.2.5.0. de la présente nomenclature, ainsi que celles demeurant en lit mineur réglementées au titre de la rubrique 3.1.1.0.</w:t>
      </w:r>
      <w:r w:rsidRPr="008F4810">
        <w:rPr>
          <w:rFonts w:ascii="Arial" w:eastAsia="Times New Roman" w:hAnsi="Arial" w:cs="Arial"/>
          <w:color w:val="000000"/>
          <w:sz w:val="19"/>
          <w:szCs w:val="19"/>
          <w:lang w:eastAsia="fr-FR"/>
        </w:rPr>
        <w:br/>
        <w:t>« Les modalités de vidange de ces plans d'eau sont définies dans le cadre des actes délivrés au titre de la présente rubrique. » ;</w:t>
      </w:r>
      <w:r w:rsidRPr="008F4810">
        <w:rPr>
          <w:rFonts w:ascii="Arial" w:eastAsia="Times New Roman" w:hAnsi="Arial" w:cs="Arial"/>
          <w:color w:val="000000"/>
          <w:sz w:val="19"/>
          <w:szCs w:val="19"/>
          <w:lang w:eastAsia="fr-FR"/>
        </w:rPr>
        <w:br/>
        <w:t>g) La rubrique 3.2.5.0. est complétée par la phrase suivante : « Les modalités de vidange de ces ouvrages sont définies dans le cadre des actes délivrés au titre de la présente rubrique. » ;</w:t>
      </w:r>
      <w:r w:rsidRPr="008F4810">
        <w:rPr>
          <w:rFonts w:ascii="Arial" w:eastAsia="Times New Roman" w:hAnsi="Arial" w:cs="Arial"/>
          <w:color w:val="000000"/>
          <w:sz w:val="19"/>
          <w:szCs w:val="19"/>
          <w:lang w:eastAsia="fr-FR"/>
        </w:rPr>
        <w:br/>
        <w:t>h) Après la rubrique 3.3.4.0. est créée une rubrique 3.3.5.0. ainsi rédigée :</w:t>
      </w:r>
      <w:r w:rsidRPr="008F4810">
        <w:rPr>
          <w:rFonts w:ascii="Arial" w:eastAsia="Times New Roman" w:hAnsi="Arial" w:cs="Arial"/>
          <w:color w:val="000000"/>
          <w:sz w:val="19"/>
          <w:szCs w:val="19"/>
          <w:lang w:eastAsia="fr-FR"/>
        </w:rPr>
        <w:br/>
        <w:t>« 3.3.5.0. Travaux, définis par un arrêté du ministre chargé de l'environnement, ayant uniquement pour objet la restauration des fonctionnalités naturelles des milieux aquatiques, y compris les ouvrages nécessaires à cet objectif (D).</w:t>
      </w:r>
      <w:r w:rsidRPr="008F4810">
        <w:rPr>
          <w:rFonts w:ascii="Arial" w:eastAsia="Times New Roman" w:hAnsi="Arial" w:cs="Arial"/>
          <w:color w:val="000000"/>
          <w:sz w:val="19"/>
          <w:szCs w:val="19"/>
          <w:lang w:eastAsia="fr-FR"/>
        </w:rPr>
        <w:br/>
        <w:t>« Cette rubrique est exclusive de l'application des autres rubriques de la présente nomenclature.</w:t>
      </w:r>
      <w:r w:rsidRPr="008F4810">
        <w:rPr>
          <w:rFonts w:ascii="Arial" w:eastAsia="Times New Roman" w:hAnsi="Arial" w:cs="Arial"/>
          <w:color w:val="000000"/>
          <w:sz w:val="19"/>
          <w:szCs w:val="19"/>
          <w:lang w:eastAsia="fr-FR"/>
        </w:rPr>
        <w:br/>
        <w:t>« Ne sont pas soumis à cette rubrique les travaux n'atteignant pas les seuils des autres rubriques de la présente nomenclature. »</w:t>
      </w:r>
    </w:p>
    <w:p w14:paraId="210D7578" w14:textId="77777777" w:rsidR="008F4810" w:rsidRPr="008F4810" w:rsidRDefault="008F4810" w:rsidP="008F4810">
      <w:pPr>
        <w:shd w:val="clear" w:color="auto" w:fill="FFFFFF"/>
        <w:spacing w:after="0" w:line="240" w:lineRule="auto"/>
        <w:jc w:val="center"/>
        <w:rPr>
          <w:rFonts w:ascii="Arial" w:eastAsia="Times New Roman" w:hAnsi="Arial" w:cs="Arial"/>
          <w:b/>
          <w:bCs/>
          <w:color w:val="000000"/>
          <w:sz w:val="23"/>
          <w:szCs w:val="23"/>
          <w:lang w:eastAsia="fr-FR"/>
        </w:rPr>
      </w:pPr>
      <w:bookmarkStart w:id="3" w:name="JORFARTI000042070982"/>
      <w:bookmarkEnd w:id="3"/>
      <w:r w:rsidRPr="008F4810">
        <w:rPr>
          <w:rFonts w:ascii="Arial" w:eastAsia="Times New Roman" w:hAnsi="Arial" w:cs="Arial"/>
          <w:b/>
          <w:bCs/>
          <w:color w:val="000000"/>
          <w:sz w:val="23"/>
          <w:szCs w:val="23"/>
          <w:lang w:eastAsia="fr-FR"/>
        </w:rPr>
        <w:t>Article 4 </w:t>
      </w:r>
      <w:hyperlink r:id="rId15" w:tooltip="En savoir plus sur l'article 4" w:history="1">
        <w:r w:rsidRPr="008F4810">
          <w:rPr>
            <w:rFonts w:ascii="Arial" w:eastAsia="Times New Roman" w:hAnsi="Arial" w:cs="Arial"/>
            <w:b/>
            <w:bCs/>
            <w:color w:val="336699"/>
            <w:sz w:val="23"/>
            <w:szCs w:val="23"/>
            <w:u w:val="single"/>
            <w:lang w:eastAsia="fr-FR"/>
          </w:rPr>
          <w:t>En savoir plus sur cet article...</w:t>
        </w:r>
      </w:hyperlink>
    </w:p>
    <w:p w14:paraId="1C604F04" w14:textId="77777777" w:rsidR="008F4810" w:rsidRPr="008F4810" w:rsidRDefault="008F4810" w:rsidP="008F4810">
      <w:pPr>
        <w:shd w:val="clear" w:color="auto" w:fill="FFFFFF"/>
        <w:spacing w:before="180" w:line="240" w:lineRule="auto"/>
        <w:rPr>
          <w:rFonts w:ascii="Arial" w:eastAsia="Times New Roman" w:hAnsi="Arial" w:cs="Arial"/>
          <w:color w:val="000000"/>
          <w:sz w:val="19"/>
          <w:szCs w:val="19"/>
          <w:lang w:eastAsia="fr-FR"/>
        </w:rPr>
      </w:pPr>
      <w:r w:rsidRPr="008F4810">
        <w:rPr>
          <w:rFonts w:ascii="Arial" w:eastAsia="Times New Roman" w:hAnsi="Arial" w:cs="Arial"/>
          <w:color w:val="000000"/>
          <w:sz w:val="19"/>
          <w:szCs w:val="19"/>
          <w:lang w:eastAsia="fr-FR"/>
        </w:rPr>
        <w:br/>
        <w:t>L'article R. 214-32 est ainsi modifié :</w:t>
      </w:r>
      <w:r w:rsidRPr="008F4810">
        <w:rPr>
          <w:rFonts w:ascii="Arial" w:eastAsia="Times New Roman" w:hAnsi="Arial" w:cs="Arial"/>
          <w:color w:val="000000"/>
          <w:sz w:val="19"/>
          <w:szCs w:val="19"/>
          <w:lang w:eastAsia="fr-FR"/>
        </w:rPr>
        <w:br/>
        <w:t>1° Le III est remplacé par les dispositions suivantes :</w:t>
      </w:r>
      <w:r w:rsidRPr="008F4810">
        <w:rPr>
          <w:rFonts w:ascii="Arial" w:eastAsia="Times New Roman" w:hAnsi="Arial" w:cs="Arial"/>
          <w:color w:val="000000"/>
          <w:sz w:val="19"/>
          <w:szCs w:val="19"/>
          <w:lang w:eastAsia="fr-FR"/>
        </w:rPr>
        <w:br/>
        <w:t xml:space="preserve">« </w:t>
      </w:r>
      <w:proofErr w:type="spellStart"/>
      <w:r w:rsidRPr="008F4810">
        <w:rPr>
          <w:rFonts w:ascii="Arial" w:eastAsia="Times New Roman" w:hAnsi="Arial" w:cs="Arial"/>
          <w:color w:val="000000"/>
          <w:sz w:val="19"/>
          <w:szCs w:val="19"/>
          <w:lang w:eastAsia="fr-FR"/>
        </w:rPr>
        <w:t>III.-Lorsqu'il</w:t>
      </w:r>
      <w:proofErr w:type="spellEnd"/>
      <w:r w:rsidRPr="008F4810">
        <w:rPr>
          <w:rFonts w:ascii="Arial" w:eastAsia="Times New Roman" w:hAnsi="Arial" w:cs="Arial"/>
          <w:color w:val="000000"/>
          <w:sz w:val="19"/>
          <w:szCs w:val="19"/>
          <w:lang w:eastAsia="fr-FR"/>
        </w:rPr>
        <w:t xml:space="preserve"> s'agit de systèmes d'assainissement collectif des eaux usées de l'agglomération d'assainissement ou d'installations d'assainissement non collectif, la déclaration inclut en outre :</w:t>
      </w:r>
      <w:r w:rsidRPr="008F4810">
        <w:rPr>
          <w:rFonts w:ascii="Arial" w:eastAsia="Times New Roman" w:hAnsi="Arial" w:cs="Arial"/>
          <w:color w:val="000000"/>
          <w:sz w:val="19"/>
          <w:szCs w:val="19"/>
          <w:lang w:eastAsia="fr-FR"/>
        </w:rPr>
        <w:br/>
        <w:t>« 1° Une description du système de collecte des eaux usées, comprenant :</w:t>
      </w:r>
      <w:r w:rsidRPr="008F4810">
        <w:rPr>
          <w:rFonts w:ascii="Arial" w:eastAsia="Times New Roman" w:hAnsi="Arial" w:cs="Arial"/>
          <w:color w:val="000000"/>
          <w:sz w:val="19"/>
          <w:szCs w:val="19"/>
          <w:lang w:eastAsia="fr-FR"/>
        </w:rPr>
        <w:br/>
        <w:t>« a) Pour les systèmes d'assainissement des eaux usées, la cartographie de l'agglomération d'assainissement concernée, faisant apparaître le nom des communes qui la constituent et la délimitation de son périmètre à l'échelle 1/25 000 ;</w:t>
      </w:r>
      <w:r w:rsidRPr="008F4810">
        <w:rPr>
          <w:rFonts w:ascii="Arial" w:eastAsia="Times New Roman" w:hAnsi="Arial" w:cs="Arial"/>
          <w:color w:val="000000"/>
          <w:sz w:val="19"/>
          <w:szCs w:val="19"/>
          <w:lang w:eastAsia="fr-FR"/>
        </w:rPr>
        <w:br/>
        <w:t>« b) Une description de la zone desservie par le système de collecte, y compris les extensions de réseau prévues, ainsi que les raccordements d'eaux usées non domestiques existants ;</w:t>
      </w:r>
      <w:r w:rsidRPr="008F4810">
        <w:rPr>
          <w:rFonts w:ascii="Arial" w:eastAsia="Times New Roman" w:hAnsi="Arial" w:cs="Arial"/>
          <w:color w:val="000000"/>
          <w:sz w:val="19"/>
          <w:szCs w:val="19"/>
          <w:lang w:eastAsia="fr-FR"/>
        </w:rPr>
        <w:br/>
        <w:t>« c) Le plan du système de collecte permettant de localiser les différents ouvrages et points de rejet au milieu récepteur, ainsi que leurs caractéristiques et leurs modalités de surveillance ;</w:t>
      </w:r>
      <w:r w:rsidRPr="008F4810">
        <w:rPr>
          <w:rFonts w:ascii="Arial" w:eastAsia="Times New Roman" w:hAnsi="Arial" w:cs="Arial"/>
          <w:color w:val="000000"/>
          <w:sz w:val="19"/>
          <w:szCs w:val="19"/>
          <w:lang w:eastAsia="fr-FR"/>
        </w:rPr>
        <w:br/>
        <w:t>« d) Le diagnostic de fonctionnement du système de collecte, ainsi que les solutions mises en œuvre pour limiter la variation des charges et les apports d'eaux pluviales entrant dans le système d'assainissement ou l'installation d'assainissement non collectif, éviter tout rejet direct d'eaux usées non traitées dans le milieu récepteur et réduire leur impact en situation inhabituelle ;</w:t>
      </w:r>
      <w:r w:rsidRPr="008F4810">
        <w:rPr>
          <w:rFonts w:ascii="Arial" w:eastAsia="Times New Roman" w:hAnsi="Arial" w:cs="Arial"/>
          <w:color w:val="000000"/>
          <w:sz w:val="19"/>
          <w:szCs w:val="19"/>
          <w:lang w:eastAsia="fr-FR"/>
        </w:rPr>
        <w:br/>
        <w:t>« e) Une évaluation des volumes et flux de pollution, actuels et prévisibles, à collecter et traiter, ainsi que leurs variations, notamment les variations saisonnières et celles dues à de fortes pluies, décomposés selon leur origine, domestique, non domestique ou liée aux eaux pluviales ;</w:t>
      </w:r>
      <w:r w:rsidRPr="008F4810">
        <w:rPr>
          <w:rFonts w:ascii="Arial" w:eastAsia="Times New Roman" w:hAnsi="Arial" w:cs="Arial"/>
          <w:color w:val="000000"/>
          <w:sz w:val="19"/>
          <w:szCs w:val="19"/>
          <w:lang w:eastAsia="fr-FR"/>
        </w:rPr>
        <w:br/>
        <w:t>« f) Les zonages prévus à l'</w:t>
      </w:r>
      <w:hyperlink r:id="rId16" w:history="1">
        <w:r w:rsidRPr="008F4810">
          <w:rPr>
            <w:rFonts w:ascii="Arial" w:eastAsia="Times New Roman" w:hAnsi="Arial" w:cs="Arial"/>
            <w:color w:val="336699"/>
            <w:sz w:val="19"/>
            <w:szCs w:val="19"/>
            <w:u w:val="single"/>
            <w:lang w:eastAsia="fr-FR"/>
          </w:rPr>
          <w:t>article L. 2224-10 du code général des collectivités territoriales</w:t>
        </w:r>
      </w:hyperlink>
      <w:r w:rsidRPr="008F4810">
        <w:rPr>
          <w:rFonts w:ascii="Arial" w:eastAsia="Times New Roman" w:hAnsi="Arial" w:cs="Arial"/>
          <w:color w:val="000000"/>
          <w:sz w:val="19"/>
          <w:szCs w:val="19"/>
          <w:lang w:eastAsia="fr-FR"/>
        </w:rPr>
        <w:t>, lorsqu'ils existent, et le calendrier de mise en œuvre ou d'évolution du système de collecte ;</w:t>
      </w:r>
      <w:r w:rsidRPr="008F4810">
        <w:rPr>
          <w:rFonts w:ascii="Arial" w:eastAsia="Times New Roman" w:hAnsi="Arial" w:cs="Arial"/>
          <w:color w:val="000000"/>
          <w:sz w:val="19"/>
          <w:szCs w:val="19"/>
          <w:lang w:eastAsia="fr-FR"/>
        </w:rPr>
        <w:br/>
        <w:t>« g) L'évaluation des volumes et des flux de pollution des apports extérieurs amenés à la station de traitement autrement que par le réseau ;</w:t>
      </w:r>
      <w:r w:rsidRPr="008F4810">
        <w:rPr>
          <w:rFonts w:ascii="Arial" w:eastAsia="Times New Roman" w:hAnsi="Arial" w:cs="Arial"/>
          <w:color w:val="000000"/>
          <w:sz w:val="19"/>
          <w:szCs w:val="19"/>
          <w:lang w:eastAsia="fr-FR"/>
        </w:rPr>
        <w:br/>
        <w:t>« 2° Si le système d'assainissement collectif des eaux usées de l'agglomération d'assainissement ou l'installation d'assainissement non collectif comprend des déversoirs d'orage ou d'autres ouvrages de rejet au milieu :</w:t>
      </w:r>
      <w:r w:rsidRPr="008F4810">
        <w:rPr>
          <w:rFonts w:ascii="Arial" w:eastAsia="Times New Roman" w:hAnsi="Arial" w:cs="Arial"/>
          <w:color w:val="000000"/>
          <w:sz w:val="19"/>
          <w:szCs w:val="19"/>
          <w:lang w:eastAsia="fr-FR"/>
        </w:rPr>
        <w:br/>
        <w:t>« a) Une évaluation des volumes et flux de pollution, actuels et prévisibles, parvenant au déversoir, décomposés selon leur origine, domestique, non domestique ou liée aux eaux pluviales ;</w:t>
      </w:r>
      <w:r w:rsidRPr="008F4810">
        <w:rPr>
          <w:rFonts w:ascii="Arial" w:eastAsia="Times New Roman" w:hAnsi="Arial" w:cs="Arial"/>
          <w:color w:val="000000"/>
          <w:sz w:val="19"/>
          <w:szCs w:val="19"/>
          <w:lang w:eastAsia="fr-FR"/>
        </w:rPr>
        <w:br/>
        <w:t>« b) Une détermination des conditions climatiques, notamment du niveau d'intensité pluviométrique, déclenchant un rejet dans l'environnement ainsi qu'une estimation de la fréquence des événements pluviométriques d'intensité supérieure ou égale à ce niveau ;</w:t>
      </w:r>
      <w:r w:rsidRPr="008F4810">
        <w:rPr>
          <w:rFonts w:ascii="Arial" w:eastAsia="Times New Roman" w:hAnsi="Arial" w:cs="Arial"/>
          <w:color w:val="000000"/>
          <w:sz w:val="19"/>
          <w:szCs w:val="19"/>
          <w:lang w:eastAsia="fr-FR"/>
        </w:rPr>
        <w:br/>
        <w:t>« c) Une estimation des flux de pollution déversés dans le milieu récepteur en fonction des événements pluviométriques retenus au 2° et l'étude de leur impact ;</w:t>
      </w:r>
      <w:r w:rsidRPr="008F4810">
        <w:rPr>
          <w:rFonts w:ascii="Arial" w:eastAsia="Times New Roman" w:hAnsi="Arial" w:cs="Arial"/>
          <w:color w:val="000000"/>
          <w:sz w:val="19"/>
          <w:szCs w:val="19"/>
          <w:lang w:eastAsia="fr-FR"/>
        </w:rPr>
        <w:br/>
        <w:t>« 3° Une description des modalités de traitement des eaux collectées et des boues produites indiquant :</w:t>
      </w:r>
      <w:r w:rsidRPr="008F4810">
        <w:rPr>
          <w:rFonts w:ascii="Arial" w:eastAsia="Times New Roman" w:hAnsi="Arial" w:cs="Arial"/>
          <w:color w:val="000000"/>
          <w:sz w:val="19"/>
          <w:szCs w:val="19"/>
          <w:lang w:eastAsia="fr-FR"/>
        </w:rPr>
        <w:br/>
        <w:t>« a) Les objectifs de traitement proposés compte tenu des obligations réglementaires et des objectifs de qualité des eaux réceptrices ;</w:t>
      </w:r>
      <w:r w:rsidRPr="008F4810">
        <w:rPr>
          <w:rFonts w:ascii="Arial" w:eastAsia="Times New Roman" w:hAnsi="Arial" w:cs="Arial"/>
          <w:color w:val="000000"/>
          <w:sz w:val="19"/>
          <w:szCs w:val="19"/>
          <w:lang w:eastAsia="fr-FR"/>
        </w:rPr>
        <w:br/>
        <w:t>« b) Les conditions, notamment pluviométriques, dans lesquelles ces objectifs peuvent être garantis à tout moment ;</w:t>
      </w:r>
      <w:r w:rsidRPr="008F4810">
        <w:rPr>
          <w:rFonts w:ascii="Arial" w:eastAsia="Times New Roman" w:hAnsi="Arial" w:cs="Arial"/>
          <w:color w:val="000000"/>
          <w:sz w:val="19"/>
          <w:szCs w:val="19"/>
          <w:lang w:eastAsia="fr-FR"/>
        </w:rPr>
        <w:br/>
        <w:t>« c) Les modalités de calcul du débit de référence et la capacité maximale journalière de traitement de la station de traitement des eaux usées pour laquelle les performances d'épuration peuvent être garanties hors périodes inhabituelles, pour les différentes formes de pollutions traitées, notamment pour la demande biochimique d'oxygène en cinq jours ;</w:t>
      </w:r>
      <w:r w:rsidRPr="008F4810">
        <w:rPr>
          <w:rFonts w:ascii="Arial" w:eastAsia="Times New Roman" w:hAnsi="Arial" w:cs="Arial"/>
          <w:color w:val="000000"/>
          <w:sz w:val="19"/>
          <w:szCs w:val="19"/>
          <w:lang w:eastAsia="fr-FR"/>
        </w:rPr>
        <w:br/>
        <w:t>« d) La localisation de la station de traitement des eaux usées ou de l'installation d'assainissement non collectif, la justification de l'emplacement retenu au regard des zones à usage sensible et de la préservation des nuisances de voisinage et des risques sanitaires ;</w:t>
      </w:r>
      <w:r w:rsidRPr="008F4810">
        <w:rPr>
          <w:rFonts w:ascii="Arial" w:eastAsia="Times New Roman" w:hAnsi="Arial" w:cs="Arial"/>
          <w:color w:val="000000"/>
          <w:sz w:val="19"/>
          <w:szCs w:val="19"/>
          <w:lang w:eastAsia="fr-FR"/>
        </w:rPr>
        <w:br/>
        <w:t>« e) Les points de rejet, les caractéristiques des milieux récepteurs et l'impact de ces rejets sur leur qualité ;</w:t>
      </w:r>
      <w:r w:rsidRPr="008F4810">
        <w:rPr>
          <w:rFonts w:ascii="Arial" w:eastAsia="Times New Roman" w:hAnsi="Arial" w:cs="Arial"/>
          <w:color w:val="000000"/>
          <w:sz w:val="19"/>
          <w:szCs w:val="19"/>
          <w:lang w:eastAsia="fr-FR"/>
        </w:rPr>
        <w:br/>
        <w:t>« f) Le descriptif des filières de traitement des eaux usées et des boues issues de ce traitement ;</w:t>
      </w:r>
      <w:r w:rsidRPr="008F4810">
        <w:rPr>
          <w:rFonts w:ascii="Arial" w:eastAsia="Times New Roman" w:hAnsi="Arial" w:cs="Arial"/>
          <w:color w:val="000000"/>
          <w:sz w:val="19"/>
          <w:szCs w:val="19"/>
          <w:lang w:eastAsia="fr-FR"/>
        </w:rPr>
        <w:br/>
        <w:t>« g) Le calendrier de mise en œuvre des ouvrages de traitement ou de réhabilitation des ouvrages existants ;</w:t>
      </w:r>
      <w:r w:rsidRPr="008F4810">
        <w:rPr>
          <w:rFonts w:ascii="Arial" w:eastAsia="Times New Roman" w:hAnsi="Arial" w:cs="Arial"/>
          <w:color w:val="000000"/>
          <w:sz w:val="19"/>
          <w:szCs w:val="19"/>
          <w:lang w:eastAsia="fr-FR"/>
        </w:rPr>
        <w:br/>
        <w:t>« h) Les modalités prévues d'élimination des sous-produits issus de l'entretien du système de collecte des eaux usées et du fonctionnement du système d'assainissement ou de l'installation d'assainissement non collectif ;</w:t>
      </w:r>
      <w:r w:rsidRPr="008F4810">
        <w:rPr>
          <w:rFonts w:ascii="Arial" w:eastAsia="Times New Roman" w:hAnsi="Arial" w:cs="Arial"/>
          <w:color w:val="000000"/>
          <w:sz w:val="19"/>
          <w:szCs w:val="19"/>
          <w:lang w:eastAsia="fr-FR"/>
        </w:rPr>
        <w:br/>
        <w:t>« 4° Si les eaux usées traitées font l'objet d'une réutilisation aux fins prévues à l'article R. 211-23, la description du projet de réutilisation des eaux usées traitées envisagé comprenant l'usage et le niveau de qualité des eaux visés, les volumes destinés à cet usage et la période durant laquelle aurait lieu cette réutilisation ;</w:t>
      </w:r>
      <w:r w:rsidRPr="008F4810">
        <w:rPr>
          <w:rFonts w:ascii="Arial" w:eastAsia="Times New Roman" w:hAnsi="Arial" w:cs="Arial"/>
          <w:color w:val="000000"/>
          <w:sz w:val="19"/>
          <w:szCs w:val="19"/>
          <w:lang w:eastAsia="fr-FR"/>
        </w:rPr>
        <w:br/>
        <w:t>« 5° L'estimation du coût global de la mise en œuvre du projet d'assainissement, son impact sur le prix de l'eau, le plan de financement prévisionnel, ainsi que les modalités d'amortissement des ouvrages d'assainissement. » ;</w:t>
      </w:r>
      <w:r w:rsidRPr="008F4810">
        <w:rPr>
          <w:rFonts w:ascii="Arial" w:eastAsia="Times New Roman" w:hAnsi="Arial" w:cs="Arial"/>
          <w:color w:val="000000"/>
          <w:sz w:val="19"/>
          <w:szCs w:val="19"/>
          <w:lang w:eastAsia="fr-FR"/>
        </w:rPr>
        <w:br/>
        <w:t>2° Le IV est remplacé par les dispositions suivantes :</w:t>
      </w:r>
      <w:r w:rsidRPr="008F4810">
        <w:rPr>
          <w:rFonts w:ascii="Arial" w:eastAsia="Times New Roman" w:hAnsi="Arial" w:cs="Arial"/>
          <w:color w:val="000000"/>
          <w:sz w:val="19"/>
          <w:szCs w:val="19"/>
          <w:lang w:eastAsia="fr-FR"/>
        </w:rPr>
        <w:br/>
        <w:t xml:space="preserve">« </w:t>
      </w:r>
      <w:proofErr w:type="spellStart"/>
      <w:r w:rsidRPr="008F4810">
        <w:rPr>
          <w:rFonts w:ascii="Arial" w:eastAsia="Times New Roman" w:hAnsi="Arial" w:cs="Arial"/>
          <w:color w:val="000000"/>
          <w:sz w:val="19"/>
          <w:szCs w:val="19"/>
          <w:lang w:eastAsia="fr-FR"/>
        </w:rPr>
        <w:t>IV.-Lorsque</w:t>
      </w:r>
      <w:proofErr w:type="spellEnd"/>
      <w:r w:rsidRPr="008F4810">
        <w:rPr>
          <w:rFonts w:ascii="Arial" w:eastAsia="Times New Roman" w:hAnsi="Arial" w:cs="Arial"/>
          <w:color w:val="000000"/>
          <w:sz w:val="19"/>
          <w:szCs w:val="19"/>
          <w:lang w:eastAsia="fr-FR"/>
        </w:rPr>
        <w:t xml:space="preserve"> la déclaration porte sur un projet relevant de la rubrique 2.1.3.0 de la nomenclature annexée à l'article R. 214-1, le dossier de demande est complété par une étude préalable dont le contenu est précisé à l'article R. 211-33, par un programme prévisionnel d'épandage dans les conditions fixées par l'article R. 211-39 et par les éléments mentionnés à l'article R. 211-46. »</w:t>
      </w:r>
    </w:p>
    <w:p w14:paraId="35C41ECD" w14:textId="77777777" w:rsidR="008F4810" w:rsidRPr="008F4810" w:rsidRDefault="008F4810" w:rsidP="008F4810">
      <w:pPr>
        <w:shd w:val="clear" w:color="auto" w:fill="FFFFFF"/>
        <w:spacing w:after="0" w:line="240" w:lineRule="auto"/>
        <w:jc w:val="center"/>
        <w:rPr>
          <w:rFonts w:ascii="Arial" w:eastAsia="Times New Roman" w:hAnsi="Arial" w:cs="Arial"/>
          <w:b/>
          <w:bCs/>
          <w:color w:val="000000"/>
          <w:sz w:val="23"/>
          <w:szCs w:val="23"/>
          <w:lang w:eastAsia="fr-FR"/>
        </w:rPr>
      </w:pPr>
      <w:bookmarkStart w:id="4" w:name="JORFARTI000042070987"/>
      <w:bookmarkEnd w:id="4"/>
      <w:r w:rsidRPr="008F4810">
        <w:rPr>
          <w:rFonts w:ascii="Arial" w:eastAsia="Times New Roman" w:hAnsi="Arial" w:cs="Arial"/>
          <w:b/>
          <w:bCs/>
          <w:color w:val="000000"/>
          <w:sz w:val="23"/>
          <w:szCs w:val="23"/>
          <w:lang w:eastAsia="fr-FR"/>
        </w:rPr>
        <w:t>Article 5 </w:t>
      </w:r>
      <w:hyperlink r:id="rId17" w:tooltip="En savoir plus sur l'article 5" w:history="1">
        <w:r w:rsidRPr="008F4810">
          <w:rPr>
            <w:rFonts w:ascii="Arial" w:eastAsia="Times New Roman" w:hAnsi="Arial" w:cs="Arial"/>
            <w:b/>
            <w:bCs/>
            <w:color w:val="336699"/>
            <w:sz w:val="23"/>
            <w:szCs w:val="23"/>
            <w:u w:val="single"/>
            <w:lang w:eastAsia="fr-FR"/>
          </w:rPr>
          <w:t>En savoir plus sur cet article...</w:t>
        </w:r>
      </w:hyperlink>
    </w:p>
    <w:p w14:paraId="3FDE69DA" w14:textId="77777777" w:rsidR="008F4810" w:rsidRPr="008F4810" w:rsidRDefault="008F4810" w:rsidP="008F4810">
      <w:pPr>
        <w:shd w:val="clear" w:color="auto" w:fill="FFFFFF"/>
        <w:spacing w:before="180" w:after="180" w:line="240" w:lineRule="auto"/>
        <w:rPr>
          <w:rFonts w:ascii="Arial" w:eastAsia="Times New Roman" w:hAnsi="Arial" w:cs="Arial"/>
          <w:color w:val="000000"/>
          <w:sz w:val="19"/>
          <w:szCs w:val="19"/>
          <w:lang w:eastAsia="fr-FR"/>
        </w:rPr>
      </w:pPr>
      <w:r w:rsidRPr="008F4810">
        <w:rPr>
          <w:rFonts w:ascii="Arial" w:eastAsia="Times New Roman" w:hAnsi="Arial" w:cs="Arial"/>
          <w:color w:val="000000"/>
          <w:sz w:val="19"/>
          <w:szCs w:val="19"/>
          <w:lang w:eastAsia="fr-FR"/>
        </w:rPr>
        <w:br/>
        <w:t>Après l'article R. 214-106, il est inséré un article R. 214-106-1 ainsi rédigé :</w:t>
      </w:r>
    </w:p>
    <w:p w14:paraId="528F9FB2" w14:textId="77777777" w:rsidR="008F4810" w:rsidRPr="008F4810" w:rsidRDefault="008F4810" w:rsidP="008F4810">
      <w:pPr>
        <w:shd w:val="clear" w:color="auto" w:fill="FFFFFF"/>
        <w:spacing w:before="180" w:line="240" w:lineRule="auto"/>
        <w:rPr>
          <w:rFonts w:ascii="Arial" w:eastAsia="Times New Roman" w:hAnsi="Arial" w:cs="Arial"/>
          <w:color w:val="000000"/>
          <w:sz w:val="19"/>
          <w:szCs w:val="19"/>
          <w:lang w:eastAsia="fr-FR"/>
        </w:rPr>
      </w:pPr>
      <w:r w:rsidRPr="008F4810">
        <w:rPr>
          <w:rFonts w:ascii="Arial" w:eastAsia="Times New Roman" w:hAnsi="Arial" w:cs="Arial"/>
          <w:color w:val="000000"/>
          <w:sz w:val="19"/>
          <w:szCs w:val="19"/>
          <w:lang w:eastAsia="fr-FR"/>
        </w:rPr>
        <w:br/>
        <w:t>« Art. R. 214-106-1. - Les propriétaires des systèmes d'assainissement destinés à collecter et traiter une charge brute de pollution organique, au sens de l'</w:t>
      </w:r>
      <w:hyperlink r:id="rId18" w:history="1">
        <w:r w:rsidRPr="008F4810">
          <w:rPr>
            <w:rFonts w:ascii="Arial" w:eastAsia="Times New Roman" w:hAnsi="Arial" w:cs="Arial"/>
            <w:color w:val="336699"/>
            <w:sz w:val="19"/>
            <w:szCs w:val="19"/>
            <w:u w:val="single"/>
            <w:lang w:eastAsia="fr-FR"/>
          </w:rPr>
          <w:t>article R. 2224-6 du code général des collectivités territoriales</w:t>
        </w:r>
      </w:hyperlink>
      <w:r w:rsidRPr="008F4810">
        <w:rPr>
          <w:rFonts w:ascii="Arial" w:eastAsia="Times New Roman" w:hAnsi="Arial" w:cs="Arial"/>
          <w:color w:val="000000"/>
          <w:sz w:val="19"/>
          <w:szCs w:val="19"/>
          <w:lang w:eastAsia="fr-FR"/>
        </w:rPr>
        <w:t>, inférieure ou égale à 12 kg et supérieure à 1,2 kg, transmettent par voie électronique, dans le cadre d'un registre national, les informations relatives à la description, l'exploitation et la gestion du système d'assainissement. Dans le cas où le système d'assainissement relève de plusieurs propriétaires, le propriétaire de la station de traitement des eaux usées assure la transmission des informations relatives à l'ensemble du système d'assainissement.</w:t>
      </w:r>
      <w:r w:rsidRPr="008F4810">
        <w:rPr>
          <w:rFonts w:ascii="Arial" w:eastAsia="Times New Roman" w:hAnsi="Arial" w:cs="Arial"/>
          <w:color w:val="000000"/>
          <w:sz w:val="19"/>
          <w:szCs w:val="19"/>
          <w:lang w:eastAsia="fr-FR"/>
        </w:rPr>
        <w:br/>
        <w:t>« Un arrêté du ministre chargé de l'environnement fixe la procédure d'inscription à ce registre, les modalités de transmission et la nature des informations qui doivent y figurer. »</w:t>
      </w:r>
    </w:p>
    <w:p w14:paraId="6AEE3EC9" w14:textId="77777777" w:rsidR="008F4810" w:rsidRPr="008F4810" w:rsidRDefault="008F4810" w:rsidP="008F4810">
      <w:pPr>
        <w:shd w:val="clear" w:color="auto" w:fill="FFFFFF"/>
        <w:spacing w:after="0" w:line="240" w:lineRule="auto"/>
        <w:jc w:val="center"/>
        <w:rPr>
          <w:rFonts w:ascii="Arial" w:eastAsia="Times New Roman" w:hAnsi="Arial" w:cs="Arial"/>
          <w:b/>
          <w:bCs/>
          <w:color w:val="000000"/>
          <w:sz w:val="23"/>
          <w:szCs w:val="23"/>
          <w:lang w:eastAsia="fr-FR"/>
        </w:rPr>
      </w:pPr>
      <w:bookmarkStart w:id="5" w:name="JORFARTI000042070991"/>
      <w:bookmarkEnd w:id="5"/>
      <w:r w:rsidRPr="008F4810">
        <w:rPr>
          <w:rFonts w:ascii="Arial" w:eastAsia="Times New Roman" w:hAnsi="Arial" w:cs="Arial"/>
          <w:b/>
          <w:bCs/>
          <w:color w:val="000000"/>
          <w:sz w:val="23"/>
          <w:szCs w:val="23"/>
          <w:lang w:eastAsia="fr-FR"/>
        </w:rPr>
        <w:t>Article 6 </w:t>
      </w:r>
      <w:hyperlink r:id="rId19" w:tooltip="En savoir plus sur l'article 6" w:history="1">
        <w:r w:rsidRPr="008F4810">
          <w:rPr>
            <w:rFonts w:ascii="Arial" w:eastAsia="Times New Roman" w:hAnsi="Arial" w:cs="Arial"/>
            <w:b/>
            <w:bCs/>
            <w:color w:val="336699"/>
            <w:sz w:val="23"/>
            <w:szCs w:val="23"/>
            <w:u w:val="single"/>
            <w:lang w:eastAsia="fr-FR"/>
          </w:rPr>
          <w:t>En savoir plus sur cet article...</w:t>
        </w:r>
      </w:hyperlink>
    </w:p>
    <w:p w14:paraId="50EB9E07" w14:textId="77777777" w:rsidR="008F4810" w:rsidRPr="008F4810" w:rsidRDefault="008F4810" w:rsidP="008F4810">
      <w:pPr>
        <w:shd w:val="clear" w:color="auto" w:fill="FFFFFF"/>
        <w:spacing w:before="180" w:line="240" w:lineRule="auto"/>
        <w:rPr>
          <w:rFonts w:ascii="Arial" w:eastAsia="Times New Roman" w:hAnsi="Arial" w:cs="Arial"/>
          <w:color w:val="000000"/>
          <w:sz w:val="19"/>
          <w:szCs w:val="19"/>
          <w:lang w:eastAsia="fr-FR"/>
        </w:rPr>
      </w:pPr>
      <w:r w:rsidRPr="008F4810">
        <w:rPr>
          <w:rFonts w:ascii="Arial" w:eastAsia="Times New Roman" w:hAnsi="Arial" w:cs="Arial"/>
          <w:color w:val="000000"/>
          <w:sz w:val="19"/>
          <w:szCs w:val="19"/>
          <w:lang w:eastAsia="fr-FR"/>
        </w:rPr>
        <w:br/>
        <w:t>L'intitulé de la rubrique 2716 de la colonne A de l'annexe de l'article R. 511-9 est complété par les mots suivants : « et des stockages en vue d'épandages de boues issues du traitement des eaux usées mentionnés à la rubrique 2.1.3.0. de la nomenclature annexée à l'article R. 214-1 ».</w:t>
      </w:r>
    </w:p>
    <w:p w14:paraId="7A1A59DE" w14:textId="77777777" w:rsidR="008F4810" w:rsidRPr="008F4810" w:rsidRDefault="008F4810" w:rsidP="008F4810">
      <w:pPr>
        <w:shd w:val="clear" w:color="auto" w:fill="FFFFFF"/>
        <w:spacing w:after="0" w:line="240" w:lineRule="auto"/>
        <w:jc w:val="center"/>
        <w:rPr>
          <w:rFonts w:ascii="Arial" w:eastAsia="Times New Roman" w:hAnsi="Arial" w:cs="Arial"/>
          <w:b/>
          <w:bCs/>
          <w:color w:val="000000"/>
          <w:sz w:val="23"/>
          <w:szCs w:val="23"/>
          <w:lang w:eastAsia="fr-FR"/>
        </w:rPr>
      </w:pPr>
      <w:bookmarkStart w:id="6" w:name="JORFARTI000042070994"/>
      <w:bookmarkEnd w:id="6"/>
      <w:r w:rsidRPr="008F4810">
        <w:rPr>
          <w:rFonts w:ascii="Arial" w:eastAsia="Times New Roman" w:hAnsi="Arial" w:cs="Arial"/>
          <w:b/>
          <w:bCs/>
          <w:color w:val="000000"/>
          <w:sz w:val="23"/>
          <w:szCs w:val="23"/>
          <w:lang w:eastAsia="fr-FR"/>
        </w:rPr>
        <w:t>Article 7 </w:t>
      </w:r>
      <w:hyperlink r:id="rId20" w:tooltip="En savoir plus sur l'article 7" w:history="1">
        <w:r w:rsidRPr="008F4810">
          <w:rPr>
            <w:rFonts w:ascii="Arial" w:eastAsia="Times New Roman" w:hAnsi="Arial" w:cs="Arial"/>
            <w:b/>
            <w:bCs/>
            <w:color w:val="336699"/>
            <w:sz w:val="23"/>
            <w:szCs w:val="23"/>
            <w:u w:val="single"/>
            <w:lang w:eastAsia="fr-FR"/>
          </w:rPr>
          <w:t>En savoir plus sur cet article...</w:t>
        </w:r>
      </w:hyperlink>
    </w:p>
    <w:p w14:paraId="5FF685FE" w14:textId="77777777" w:rsidR="008F4810" w:rsidRPr="008F4810" w:rsidRDefault="008F4810" w:rsidP="008F4810">
      <w:pPr>
        <w:shd w:val="clear" w:color="auto" w:fill="FFFFFF"/>
        <w:spacing w:before="180" w:line="240" w:lineRule="auto"/>
        <w:rPr>
          <w:rFonts w:ascii="Arial" w:eastAsia="Times New Roman" w:hAnsi="Arial" w:cs="Arial"/>
          <w:color w:val="000000"/>
          <w:sz w:val="19"/>
          <w:szCs w:val="19"/>
          <w:lang w:eastAsia="fr-FR"/>
        </w:rPr>
      </w:pPr>
      <w:r w:rsidRPr="008F4810">
        <w:rPr>
          <w:rFonts w:ascii="Arial" w:eastAsia="Times New Roman" w:hAnsi="Arial" w:cs="Arial"/>
          <w:color w:val="000000"/>
          <w:sz w:val="19"/>
          <w:szCs w:val="19"/>
          <w:lang w:eastAsia="fr-FR"/>
        </w:rPr>
        <w:br/>
        <w:t>L'article R. 2224-6 du code général des collectivités territoriales est complété par trois alinéas ainsi rédigés :</w:t>
      </w:r>
      <w:r w:rsidRPr="008F4810">
        <w:rPr>
          <w:rFonts w:ascii="Arial" w:eastAsia="Times New Roman" w:hAnsi="Arial" w:cs="Arial"/>
          <w:color w:val="000000"/>
          <w:sz w:val="19"/>
          <w:szCs w:val="19"/>
          <w:lang w:eastAsia="fr-FR"/>
        </w:rPr>
        <w:br/>
        <w:t>« Le préfet arrête la liste des agglomérations d'assainissement, en déterminant les systèmes d'assainissement tels que définis à la rubrique 2.1.1.0. de la nomenclature annexée à l'article R. 214-1 du code de l'environnement qui les composent. Cet arrêté est publié au recueil des actes administratifs de la préfecture.</w:t>
      </w:r>
      <w:r w:rsidRPr="008F4810">
        <w:rPr>
          <w:rFonts w:ascii="Arial" w:eastAsia="Times New Roman" w:hAnsi="Arial" w:cs="Arial"/>
          <w:color w:val="000000"/>
          <w:sz w:val="19"/>
          <w:szCs w:val="19"/>
          <w:lang w:eastAsia="fr-FR"/>
        </w:rPr>
        <w:br/>
        <w:t>« Pour les agglomérations d'assainissement dont le périmètre s'étend sur plusieurs départements, l'arrêté fixant la liste des agglomérations d'assainissement est pris conjointement par les préfets concernés. Le préfet du département sur lequel se situe la station de traitement des eaux usées destinée à recevoir la plus grande charge brute de pollution organique est chargé de conduire la procédure.</w:t>
      </w:r>
      <w:r w:rsidRPr="008F4810">
        <w:rPr>
          <w:rFonts w:ascii="Arial" w:eastAsia="Times New Roman" w:hAnsi="Arial" w:cs="Arial"/>
          <w:color w:val="000000"/>
          <w:sz w:val="19"/>
          <w:szCs w:val="19"/>
          <w:lang w:eastAsia="fr-FR"/>
        </w:rPr>
        <w:br/>
        <w:t>« Pour les agglomérations d'assainissement dont le périmètre s'étend sur plus de deux départements en Ile-de-France, l'autorité administrative compétente est le préfet de région. »</w:t>
      </w:r>
    </w:p>
    <w:p w14:paraId="0F7F544B" w14:textId="77777777" w:rsidR="008F4810" w:rsidRPr="008F4810" w:rsidRDefault="008F4810" w:rsidP="008F4810">
      <w:pPr>
        <w:shd w:val="clear" w:color="auto" w:fill="FFFFFF"/>
        <w:spacing w:after="0" w:line="240" w:lineRule="auto"/>
        <w:jc w:val="center"/>
        <w:rPr>
          <w:rFonts w:ascii="Arial" w:eastAsia="Times New Roman" w:hAnsi="Arial" w:cs="Arial"/>
          <w:b/>
          <w:bCs/>
          <w:color w:val="000000"/>
          <w:sz w:val="23"/>
          <w:szCs w:val="23"/>
          <w:lang w:eastAsia="fr-FR"/>
        </w:rPr>
      </w:pPr>
      <w:bookmarkStart w:id="7" w:name="JORFARTI000042070997"/>
      <w:bookmarkEnd w:id="7"/>
      <w:r w:rsidRPr="008F4810">
        <w:rPr>
          <w:rFonts w:ascii="Arial" w:eastAsia="Times New Roman" w:hAnsi="Arial" w:cs="Arial"/>
          <w:b/>
          <w:bCs/>
          <w:color w:val="000000"/>
          <w:sz w:val="23"/>
          <w:szCs w:val="23"/>
          <w:lang w:eastAsia="fr-FR"/>
        </w:rPr>
        <w:t>Article 8 </w:t>
      </w:r>
      <w:hyperlink r:id="rId21" w:tooltip="En savoir plus sur l'article 8" w:history="1">
        <w:r w:rsidRPr="008F4810">
          <w:rPr>
            <w:rFonts w:ascii="Arial" w:eastAsia="Times New Roman" w:hAnsi="Arial" w:cs="Arial"/>
            <w:b/>
            <w:bCs/>
            <w:color w:val="336699"/>
            <w:sz w:val="23"/>
            <w:szCs w:val="23"/>
            <w:u w:val="single"/>
            <w:lang w:eastAsia="fr-FR"/>
          </w:rPr>
          <w:t>En savoir plus sur cet article...</w:t>
        </w:r>
      </w:hyperlink>
    </w:p>
    <w:p w14:paraId="22D16DC1" w14:textId="77777777" w:rsidR="008F4810" w:rsidRPr="008F4810" w:rsidRDefault="008F4810" w:rsidP="008F4810">
      <w:pPr>
        <w:shd w:val="clear" w:color="auto" w:fill="FFFFFF"/>
        <w:spacing w:before="180" w:line="240" w:lineRule="auto"/>
        <w:rPr>
          <w:rFonts w:ascii="Arial" w:eastAsia="Times New Roman" w:hAnsi="Arial" w:cs="Arial"/>
          <w:color w:val="000000"/>
          <w:sz w:val="19"/>
          <w:szCs w:val="19"/>
          <w:lang w:eastAsia="fr-FR"/>
        </w:rPr>
      </w:pPr>
      <w:r w:rsidRPr="008F4810">
        <w:rPr>
          <w:rFonts w:ascii="Arial" w:eastAsia="Times New Roman" w:hAnsi="Arial" w:cs="Arial"/>
          <w:color w:val="000000"/>
          <w:sz w:val="19"/>
          <w:szCs w:val="19"/>
          <w:lang w:eastAsia="fr-FR"/>
        </w:rPr>
        <w:br/>
        <w:t>I. - Les dispositions de l'article 5 du présent décret entrent en vigueur le 1er janvier 2021.</w:t>
      </w:r>
      <w:r w:rsidRPr="008F4810">
        <w:rPr>
          <w:rFonts w:ascii="Arial" w:eastAsia="Times New Roman" w:hAnsi="Arial" w:cs="Arial"/>
          <w:color w:val="000000"/>
          <w:sz w:val="19"/>
          <w:szCs w:val="19"/>
          <w:lang w:eastAsia="fr-FR"/>
        </w:rPr>
        <w:br/>
        <w:t>II. - Les dispositions des articles 3, 4 et 6 du présent décret sont applicables aux demandes d'autorisation et aux déclarations déposées à compter du 1er septembre 2020.</w:t>
      </w:r>
    </w:p>
    <w:p w14:paraId="576C5AE8" w14:textId="77777777" w:rsidR="008F4810" w:rsidRPr="008F4810" w:rsidRDefault="008F4810" w:rsidP="008F4810">
      <w:pPr>
        <w:shd w:val="clear" w:color="auto" w:fill="FFFFFF"/>
        <w:spacing w:after="0" w:line="240" w:lineRule="auto"/>
        <w:jc w:val="center"/>
        <w:rPr>
          <w:rFonts w:ascii="Arial" w:eastAsia="Times New Roman" w:hAnsi="Arial" w:cs="Arial"/>
          <w:b/>
          <w:bCs/>
          <w:color w:val="000000"/>
          <w:sz w:val="23"/>
          <w:szCs w:val="23"/>
          <w:lang w:eastAsia="fr-FR"/>
        </w:rPr>
      </w:pPr>
      <w:bookmarkStart w:id="8" w:name="JORFARTI000042071000"/>
      <w:bookmarkEnd w:id="8"/>
      <w:r w:rsidRPr="008F4810">
        <w:rPr>
          <w:rFonts w:ascii="Arial" w:eastAsia="Times New Roman" w:hAnsi="Arial" w:cs="Arial"/>
          <w:b/>
          <w:bCs/>
          <w:color w:val="000000"/>
          <w:sz w:val="23"/>
          <w:szCs w:val="23"/>
          <w:lang w:eastAsia="fr-FR"/>
        </w:rPr>
        <w:t>Article 9 </w:t>
      </w:r>
      <w:hyperlink r:id="rId22" w:tooltip="En savoir plus sur l'article 9" w:history="1">
        <w:r w:rsidRPr="008F4810">
          <w:rPr>
            <w:rFonts w:ascii="Arial" w:eastAsia="Times New Roman" w:hAnsi="Arial" w:cs="Arial"/>
            <w:b/>
            <w:bCs/>
            <w:color w:val="336699"/>
            <w:sz w:val="23"/>
            <w:szCs w:val="23"/>
            <w:u w:val="single"/>
            <w:lang w:eastAsia="fr-FR"/>
          </w:rPr>
          <w:t>En savoir plus sur cet article...</w:t>
        </w:r>
      </w:hyperlink>
    </w:p>
    <w:p w14:paraId="72E84F4B" w14:textId="77777777" w:rsidR="008F4810" w:rsidRPr="008F4810" w:rsidRDefault="008F4810" w:rsidP="008F4810">
      <w:pPr>
        <w:shd w:val="clear" w:color="auto" w:fill="FFFFFF"/>
        <w:spacing w:before="180" w:line="240" w:lineRule="auto"/>
        <w:rPr>
          <w:rFonts w:ascii="Arial" w:eastAsia="Times New Roman" w:hAnsi="Arial" w:cs="Arial"/>
          <w:color w:val="000000"/>
          <w:sz w:val="19"/>
          <w:szCs w:val="19"/>
          <w:lang w:eastAsia="fr-FR"/>
        </w:rPr>
      </w:pPr>
      <w:r w:rsidRPr="008F4810">
        <w:rPr>
          <w:rFonts w:ascii="Arial" w:eastAsia="Times New Roman" w:hAnsi="Arial" w:cs="Arial"/>
          <w:color w:val="000000"/>
          <w:sz w:val="19"/>
          <w:szCs w:val="19"/>
          <w:lang w:eastAsia="fr-FR"/>
        </w:rPr>
        <w:br/>
        <w:t>La ministre de la transition écologique et solidaire et la secrétaire d'Etat auprès de la ministre de la transition écologique et solidaire sont chargées de l'exécution du présent décret, qui sera publié au Journal officiel de la République française.</w:t>
      </w:r>
    </w:p>
    <w:p w14:paraId="5536E85B" w14:textId="77777777" w:rsidR="008F4810" w:rsidRPr="008F4810" w:rsidRDefault="008F4810" w:rsidP="008F4810">
      <w:pPr>
        <w:shd w:val="clear" w:color="auto" w:fill="FFFFFF"/>
        <w:spacing w:before="180" w:after="180" w:line="240" w:lineRule="auto"/>
        <w:rPr>
          <w:rFonts w:ascii="Arial" w:eastAsia="Times New Roman" w:hAnsi="Arial" w:cs="Arial"/>
          <w:color w:val="000000"/>
          <w:sz w:val="19"/>
          <w:szCs w:val="19"/>
          <w:lang w:eastAsia="fr-FR"/>
        </w:rPr>
      </w:pPr>
      <w:r w:rsidRPr="008F4810">
        <w:rPr>
          <w:rFonts w:ascii="Arial" w:eastAsia="Times New Roman" w:hAnsi="Arial" w:cs="Arial"/>
          <w:color w:val="000000"/>
          <w:sz w:val="19"/>
          <w:szCs w:val="19"/>
          <w:lang w:eastAsia="fr-FR"/>
        </w:rPr>
        <w:br/>
        <w:t>Fait le 30 juin 2020.</w:t>
      </w:r>
    </w:p>
    <w:p w14:paraId="367CCB7E" w14:textId="77777777" w:rsidR="008F4810" w:rsidRPr="008F4810" w:rsidRDefault="008F4810" w:rsidP="008F4810">
      <w:pPr>
        <w:shd w:val="clear" w:color="auto" w:fill="FFFFFF"/>
        <w:spacing w:before="180" w:after="180" w:line="240" w:lineRule="auto"/>
        <w:rPr>
          <w:rFonts w:ascii="Arial" w:eastAsia="Times New Roman" w:hAnsi="Arial" w:cs="Arial"/>
          <w:color w:val="000000"/>
          <w:sz w:val="19"/>
          <w:szCs w:val="19"/>
          <w:lang w:eastAsia="fr-FR"/>
        </w:rPr>
      </w:pPr>
      <w:r w:rsidRPr="008F4810">
        <w:rPr>
          <w:rFonts w:ascii="Arial" w:eastAsia="Times New Roman" w:hAnsi="Arial" w:cs="Arial"/>
          <w:color w:val="000000"/>
          <w:sz w:val="19"/>
          <w:szCs w:val="19"/>
          <w:lang w:eastAsia="fr-FR"/>
        </w:rPr>
        <w:br/>
        <w:t>Edouard Philippe</w:t>
      </w:r>
      <w:r w:rsidRPr="008F4810">
        <w:rPr>
          <w:rFonts w:ascii="Arial" w:eastAsia="Times New Roman" w:hAnsi="Arial" w:cs="Arial"/>
          <w:color w:val="000000"/>
          <w:sz w:val="19"/>
          <w:szCs w:val="19"/>
          <w:lang w:eastAsia="fr-FR"/>
        </w:rPr>
        <w:br/>
      </w:r>
      <w:r w:rsidRPr="008F4810">
        <w:rPr>
          <w:rFonts w:ascii="Arial" w:eastAsia="Times New Roman" w:hAnsi="Arial" w:cs="Arial"/>
          <w:color w:val="000000"/>
          <w:sz w:val="19"/>
          <w:szCs w:val="19"/>
          <w:lang w:eastAsia="fr-FR"/>
        </w:rPr>
        <w:br/>
        <w:t>Par le Premier ministre :</w:t>
      </w:r>
    </w:p>
    <w:p w14:paraId="6C9771D8" w14:textId="77777777" w:rsidR="008F4810" w:rsidRPr="008F4810" w:rsidRDefault="008F4810" w:rsidP="008F4810">
      <w:pPr>
        <w:shd w:val="clear" w:color="auto" w:fill="FFFFFF"/>
        <w:spacing w:before="180" w:after="180" w:line="240" w:lineRule="auto"/>
        <w:rPr>
          <w:rFonts w:ascii="Arial" w:eastAsia="Times New Roman" w:hAnsi="Arial" w:cs="Arial"/>
          <w:color w:val="000000"/>
          <w:sz w:val="19"/>
          <w:szCs w:val="19"/>
          <w:lang w:eastAsia="fr-FR"/>
        </w:rPr>
      </w:pPr>
      <w:r w:rsidRPr="008F4810">
        <w:rPr>
          <w:rFonts w:ascii="Arial" w:eastAsia="Times New Roman" w:hAnsi="Arial" w:cs="Arial"/>
          <w:color w:val="000000"/>
          <w:sz w:val="19"/>
          <w:szCs w:val="19"/>
          <w:lang w:eastAsia="fr-FR"/>
        </w:rPr>
        <w:br/>
        <w:t>La ministre de la transition écologique et solidaire,</w:t>
      </w:r>
      <w:r w:rsidRPr="008F4810">
        <w:rPr>
          <w:rFonts w:ascii="Arial" w:eastAsia="Times New Roman" w:hAnsi="Arial" w:cs="Arial"/>
          <w:color w:val="000000"/>
          <w:sz w:val="19"/>
          <w:szCs w:val="19"/>
          <w:lang w:eastAsia="fr-FR"/>
        </w:rPr>
        <w:br/>
      </w:r>
      <w:r w:rsidRPr="008F4810">
        <w:rPr>
          <w:rFonts w:ascii="Arial" w:eastAsia="Times New Roman" w:hAnsi="Arial" w:cs="Arial"/>
          <w:color w:val="000000"/>
          <w:sz w:val="19"/>
          <w:szCs w:val="19"/>
          <w:lang w:eastAsia="fr-FR"/>
        </w:rPr>
        <w:br/>
        <w:t>Elisabeth Borne</w:t>
      </w:r>
    </w:p>
    <w:p w14:paraId="08F759D8" w14:textId="77777777" w:rsidR="008F4810" w:rsidRPr="008F4810" w:rsidRDefault="008F4810" w:rsidP="008F4810">
      <w:pPr>
        <w:shd w:val="clear" w:color="auto" w:fill="FFFFFF"/>
        <w:spacing w:before="180" w:after="180" w:line="240" w:lineRule="auto"/>
        <w:rPr>
          <w:rFonts w:ascii="Arial" w:eastAsia="Times New Roman" w:hAnsi="Arial" w:cs="Arial"/>
          <w:color w:val="000000"/>
          <w:sz w:val="19"/>
          <w:szCs w:val="19"/>
          <w:lang w:eastAsia="fr-FR"/>
        </w:rPr>
      </w:pPr>
      <w:r w:rsidRPr="008F4810">
        <w:rPr>
          <w:rFonts w:ascii="Arial" w:eastAsia="Times New Roman" w:hAnsi="Arial" w:cs="Arial"/>
          <w:color w:val="000000"/>
          <w:sz w:val="19"/>
          <w:szCs w:val="19"/>
          <w:lang w:eastAsia="fr-FR"/>
        </w:rPr>
        <w:br/>
        <w:t>La secrétaire d'Etat auprès de la ministre de la transition écologique et solidaire,</w:t>
      </w:r>
      <w:r w:rsidRPr="008F4810">
        <w:rPr>
          <w:rFonts w:ascii="Arial" w:eastAsia="Times New Roman" w:hAnsi="Arial" w:cs="Arial"/>
          <w:color w:val="000000"/>
          <w:sz w:val="19"/>
          <w:szCs w:val="19"/>
          <w:lang w:eastAsia="fr-FR"/>
        </w:rPr>
        <w:br/>
      </w:r>
      <w:r w:rsidRPr="008F4810">
        <w:rPr>
          <w:rFonts w:ascii="Arial" w:eastAsia="Times New Roman" w:hAnsi="Arial" w:cs="Arial"/>
          <w:color w:val="000000"/>
          <w:sz w:val="19"/>
          <w:szCs w:val="19"/>
          <w:lang w:eastAsia="fr-FR"/>
        </w:rPr>
        <w:br/>
        <w:t xml:space="preserve">Emmanuelle </w:t>
      </w:r>
      <w:proofErr w:type="spellStart"/>
      <w:r w:rsidRPr="008F4810">
        <w:rPr>
          <w:rFonts w:ascii="Arial" w:eastAsia="Times New Roman" w:hAnsi="Arial" w:cs="Arial"/>
          <w:color w:val="000000"/>
          <w:sz w:val="19"/>
          <w:szCs w:val="19"/>
          <w:lang w:eastAsia="fr-FR"/>
        </w:rPr>
        <w:t>Wargon</w:t>
      </w:r>
      <w:proofErr w:type="spellEnd"/>
    </w:p>
    <w:p w14:paraId="143E5604" w14:textId="77777777" w:rsidR="00E930FA" w:rsidRDefault="00E930FA"/>
    <w:sectPr w:rsidR="00E93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810"/>
    <w:rsid w:val="0007444A"/>
    <w:rsid w:val="008F4810"/>
    <w:rsid w:val="00E93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8F97"/>
  <w15:chartTrackingRefBased/>
  <w15:docId w15:val="{48898BA2-F906-42B9-AE05-ECEF45CF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67847">
      <w:bodyDiv w:val="1"/>
      <w:marLeft w:val="0"/>
      <w:marRight w:val="0"/>
      <w:marTop w:val="0"/>
      <w:marBottom w:val="0"/>
      <w:divBdr>
        <w:top w:val="none" w:sz="0" w:space="0" w:color="auto"/>
        <w:left w:val="none" w:sz="0" w:space="0" w:color="auto"/>
        <w:bottom w:val="none" w:sz="0" w:space="0" w:color="auto"/>
        <w:right w:val="none" w:sz="0" w:space="0" w:color="auto"/>
      </w:divBdr>
      <w:divsChild>
        <w:div w:id="1555891584">
          <w:marLeft w:val="0"/>
          <w:marRight w:val="0"/>
          <w:marTop w:val="0"/>
          <w:marBottom w:val="450"/>
          <w:divBdr>
            <w:top w:val="none" w:sz="0" w:space="0" w:color="auto"/>
            <w:left w:val="none" w:sz="0" w:space="0" w:color="auto"/>
            <w:bottom w:val="none" w:sz="0" w:space="0" w:color="auto"/>
            <w:right w:val="none" w:sz="0" w:space="0" w:color="auto"/>
          </w:divBdr>
          <w:divsChild>
            <w:div w:id="1754467491">
              <w:marLeft w:val="0"/>
              <w:marRight w:val="0"/>
              <w:marTop w:val="0"/>
              <w:marBottom w:val="450"/>
              <w:divBdr>
                <w:top w:val="none" w:sz="0" w:space="0" w:color="auto"/>
                <w:left w:val="none" w:sz="0" w:space="0" w:color="auto"/>
                <w:bottom w:val="none" w:sz="0" w:space="0" w:color="auto"/>
                <w:right w:val="none" w:sz="0" w:space="0" w:color="auto"/>
              </w:divBdr>
            </w:div>
          </w:divsChild>
        </w:div>
        <w:div w:id="2036693154">
          <w:marLeft w:val="0"/>
          <w:marRight w:val="0"/>
          <w:marTop w:val="0"/>
          <w:marBottom w:val="0"/>
          <w:divBdr>
            <w:top w:val="none" w:sz="0" w:space="0" w:color="auto"/>
            <w:left w:val="none" w:sz="0" w:space="0" w:color="auto"/>
            <w:bottom w:val="none" w:sz="0" w:space="0" w:color="auto"/>
            <w:right w:val="none" w:sz="0" w:space="0" w:color="auto"/>
          </w:divBdr>
        </w:div>
        <w:div w:id="2023698074">
          <w:marLeft w:val="0"/>
          <w:marRight w:val="0"/>
          <w:marTop w:val="0"/>
          <w:marBottom w:val="0"/>
          <w:divBdr>
            <w:top w:val="none" w:sz="0" w:space="0" w:color="auto"/>
            <w:left w:val="none" w:sz="0" w:space="0" w:color="auto"/>
            <w:bottom w:val="none" w:sz="0" w:space="0" w:color="auto"/>
            <w:right w:val="none" w:sz="0" w:space="0" w:color="auto"/>
          </w:divBdr>
        </w:div>
        <w:div w:id="1608809483">
          <w:marLeft w:val="0"/>
          <w:marRight w:val="0"/>
          <w:marTop w:val="0"/>
          <w:marBottom w:val="0"/>
          <w:divBdr>
            <w:top w:val="none" w:sz="0" w:space="0" w:color="auto"/>
            <w:left w:val="none" w:sz="0" w:space="0" w:color="auto"/>
            <w:bottom w:val="none" w:sz="0" w:space="0" w:color="auto"/>
            <w:right w:val="none" w:sz="0" w:space="0" w:color="auto"/>
          </w:divBdr>
          <w:divsChild>
            <w:div w:id="1661884834">
              <w:marLeft w:val="0"/>
              <w:marRight w:val="0"/>
              <w:marTop w:val="525"/>
              <w:marBottom w:val="525"/>
              <w:divBdr>
                <w:top w:val="none" w:sz="0" w:space="0" w:color="auto"/>
                <w:left w:val="none" w:sz="0" w:space="0" w:color="auto"/>
                <w:bottom w:val="none" w:sz="0" w:space="0" w:color="auto"/>
                <w:right w:val="none" w:sz="0" w:space="0" w:color="auto"/>
              </w:divBdr>
            </w:div>
            <w:div w:id="1140269324">
              <w:marLeft w:val="0"/>
              <w:marRight w:val="0"/>
              <w:marTop w:val="525"/>
              <w:marBottom w:val="525"/>
              <w:divBdr>
                <w:top w:val="none" w:sz="0" w:space="0" w:color="auto"/>
                <w:left w:val="none" w:sz="0" w:space="0" w:color="auto"/>
                <w:bottom w:val="none" w:sz="0" w:space="0" w:color="auto"/>
                <w:right w:val="none" w:sz="0" w:space="0" w:color="auto"/>
              </w:divBdr>
            </w:div>
            <w:div w:id="1483739528">
              <w:marLeft w:val="0"/>
              <w:marRight w:val="0"/>
              <w:marTop w:val="525"/>
              <w:marBottom w:val="525"/>
              <w:divBdr>
                <w:top w:val="none" w:sz="0" w:space="0" w:color="auto"/>
                <w:left w:val="none" w:sz="0" w:space="0" w:color="auto"/>
                <w:bottom w:val="none" w:sz="0" w:space="0" w:color="auto"/>
                <w:right w:val="none" w:sz="0" w:space="0" w:color="auto"/>
              </w:divBdr>
            </w:div>
            <w:div w:id="610750390">
              <w:marLeft w:val="0"/>
              <w:marRight w:val="0"/>
              <w:marTop w:val="525"/>
              <w:marBottom w:val="525"/>
              <w:divBdr>
                <w:top w:val="none" w:sz="0" w:space="0" w:color="auto"/>
                <w:left w:val="none" w:sz="0" w:space="0" w:color="auto"/>
                <w:bottom w:val="none" w:sz="0" w:space="0" w:color="auto"/>
                <w:right w:val="none" w:sz="0" w:space="0" w:color="auto"/>
              </w:divBdr>
            </w:div>
            <w:div w:id="393311774">
              <w:marLeft w:val="0"/>
              <w:marRight w:val="0"/>
              <w:marTop w:val="525"/>
              <w:marBottom w:val="525"/>
              <w:divBdr>
                <w:top w:val="none" w:sz="0" w:space="0" w:color="auto"/>
                <w:left w:val="none" w:sz="0" w:space="0" w:color="auto"/>
                <w:bottom w:val="none" w:sz="0" w:space="0" w:color="auto"/>
                <w:right w:val="none" w:sz="0" w:space="0" w:color="auto"/>
              </w:divBdr>
            </w:div>
            <w:div w:id="163017472">
              <w:marLeft w:val="0"/>
              <w:marRight w:val="0"/>
              <w:marTop w:val="525"/>
              <w:marBottom w:val="525"/>
              <w:divBdr>
                <w:top w:val="none" w:sz="0" w:space="0" w:color="auto"/>
                <w:left w:val="none" w:sz="0" w:space="0" w:color="auto"/>
                <w:bottom w:val="none" w:sz="0" w:space="0" w:color="auto"/>
                <w:right w:val="none" w:sz="0" w:space="0" w:color="auto"/>
              </w:divBdr>
            </w:div>
            <w:div w:id="16010519">
              <w:marLeft w:val="0"/>
              <w:marRight w:val="0"/>
              <w:marTop w:val="525"/>
              <w:marBottom w:val="525"/>
              <w:divBdr>
                <w:top w:val="none" w:sz="0" w:space="0" w:color="auto"/>
                <w:left w:val="none" w:sz="0" w:space="0" w:color="auto"/>
                <w:bottom w:val="none" w:sz="0" w:space="0" w:color="auto"/>
                <w:right w:val="none" w:sz="0" w:space="0" w:color="auto"/>
              </w:divBdr>
            </w:div>
            <w:div w:id="2020883151">
              <w:marLeft w:val="0"/>
              <w:marRight w:val="0"/>
              <w:marTop w:val="525"/>
              <w:marBottom w:val="525"/>
              <w:divBdr>
                <w:top w:val="none" w:sz="0" w:space="0" w:color="auto"/>
                <w:left w:val="none" w:sz="0" w:space="0" w:color="auto"/>
                <w:bottom w:val="none" w:sz="0" w:space="0" w:color="auto"/>
                <w:right w:val="none" w:sz="0" w:space="0" w:color="auto"/>
              </w:divBdr>
            </w:div>
            <w:div w:id="743574972">
              <w:marLeft w:val="0"/>
              <w:marRight w:val="0"/>
              <w:marTop w:val="525"/>
              <w:marBottom w:val="525"/>
              <w:divBdr>
                <w:top w:val="none" w:sz="0" w:space="0" w:color="auto"/>
                <w:left w:val="none" w:sz="0" w:space="0" w:color="auto"/>
                <w:bottom w:val="none" w:sz="0" w:space="0" w:color="auto"/>
                <w:right w:val="none" w:sz="0" w:space="0" w:color="auto"/>
              </w:divBdr>
            </w:div>
          </w:divsChild>
        </w:div>
        <w:div w:id="1843466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cidTexte=LEGITEXT000006070633&amp;dateTexte=29990101&amp;categorieLien=cid" TargetMode="External"/><Relationship Id="rId13" Type="http://schemas.openxmlformats.org/officeDocument/2006/relationships/hyperlink" Target="https://www.legifrance.gouv.fr/affichCodeArticle.do?cidTexte=LEGITEXT000006070633&amp;idArticle=LEGIARTI000006396161&amp;dateTexte=&amp;categorieLien=cid" TargetMode="External"/><Relationship Id="rId18" Type="http://schemas.openxmlformats.org/officeDocument/2006/relationships/hyperlink" Target="https://www.legifrance.gouv.fr/affichCodeArticle.do?cidTexte=LEGITEXT000006070633&amp;idArticle=LEGIARTI000006396161&amp;dateTexte=&amp;categorieLien=cid" TargetMode="External"/><Relationship Id="rId3" Type="http://schemas.openxmlformats.org/officeDocument/2006/relationships/webSettings" Target="webSettings.xml"/><Relationship Id="rId21" Type="http://schemas.openxmlformats.org/officeDocument/2006/relationships/hyperlink" Target="https://www.legifrance.gouv.fr/affichTexteArticle.do;jsessionid=E3FC7CDEE89B1E16EE4498EB3A0EC4A3.tplgfr34s_2?idArticle=JORFARTI000042070997&amp;cidTexte=JORFTEXT000042070963&amp;dateTexte=29990101&amp;categorieLien=id" TargetMode="External"/><Relationship Id="rId7" Type="http://schemas.openxmlformats.org/officeDocument/2006/relationships/hyperlink" Target="https://www.legifrance.gouv.fr/affichCode.do?cidTexte=LEGITEXT000006074220&amp;dateTexte=29990101&amp;categorieLien=cid" TargetMode="External"/><Relationship Id="rId12" Type="http://schemas.openxmlformats.org/officeDocument/2006/relationships/hyperlink" Target="https://www.legifrance.gouv.fr/affichTexteArticle.do;jsessionid=E3FC7CDEE89B1E16EE4498EB3A0EC4A3.tplgfr34s_2?idArticle=JORFARTI000042070976&amp;cidTexte=JORFTEXT000042070963&amp;dateTexte=29990101&amp;categorieLien=id" TargetMode="External"/><Relationship Id="rId17" Type="http://schemas.openxmlformats.org/officeDocument/2006/relationships/hyperlink" Target="https://www.legifrance.gouv.fr/affichTexteArticle.do;jsessionid=E3FC7CDEE89B1E16EE4498EB3A0EC4A3.tplgfr34s_2?idArticle=JORFARTI000042070987&amp;cidTexte=JORFTEXT000042070963&amp;dateTexte=29990101&amp;categorieLien=id" TargetMode="External"/><Relationship Id="rId2" Type="http://schemas.openxmlformats.org/officeDocument/2006/relationships/settings" Target="settings.xml"/><Relationship Id="rId16" Type="http://schemas.openxmlformats.org/officeDocument/2006/relationships/hyperlink" Target="https://www.legifrance.gouv.fr/affichCodeArticle.do?cidTexte=LEGITEXT000006070633&amp;idArticle=LEGIARTI000006390357&amp;dateTexte=&amp;categorieLien=cid" TargetMode="External"/><Relationship Id="rId20" Type="http://schemas.openxmlformats.org/officeDocument/2006/relationships/hyperlink" Target="https://www.legifrance.gouv.fr/affichTexteArticle.do;jsessionid=E3FC7CDEE89B1E16EE4498EB3A0EC4A3.tplgfr34s_2?idArticle=JORFARTI000042070994&amp;cidTexte=JORFTEXT000042070963&amp;dateTexte=29990101&amp;categorieLien=id" TargetMode="External"/><Relationship Id="rId1" Type="http://schemas.openxmlformats.org/officeDocument/2006/relationships/styles" Target="styles.xml"/><Relationship Id="rId6" Type="http://schemas.openxmlformats.org/officeDocument/2006/relationships/hyperlink" Target="https://www.legifrance.gouv.fr/affichCodeArticle.do?cidTexte=LEGITEXT000006074220&amp;idArticle=LEGIARTI000006833121&amp;dateTexte=29990101&amp;categorieLien=cid" TargetMode="External"/><Relationship Id="rId11" Type="http://schemas.openxmlformats.org/officeDocument/2006/relationships/hyperlink" Target="https://www.legifrance.gouv.fr/affichTexteArticle.do;jsessionid=E3FC7CDEE89B1E16EE4498EB3A0EC4A3.tplgfr34s_2?idArticle=JORFARTI000042070973&amp;cidTexte=JORFTEXT000042070963&amp;dateTexte=29990101&amp;categorieLien=id" TargetMode="External"/><Relationship Id="rId24" Type="http://schemas.openxmlformats.org/officeDocument/2006/relationships/theme" Target="theme/theme1.xml"/><Relationship Id="rId5" Type="http://schemas.openxmlformats.org/officeDocument/2006/relationships/hyperlink" Target="https://www.legifrance.gouv.fr/affichCodeArticle.do?cidTexte=LEGITEXT000006070633&amp;idArticle=LEGIARTI000006396161&amp;dateTexte=29990101&amp;categorieLien=cid" TargetMode="External"/><Relationship Id="rId15" Type="http://schemas.openxmlformats.org/officeDocument/2006/relationships/hyperlink" Target="https://www.legifrance.gouv.fr/affichTexteArticle.do;jsessionid=E3FC7CDEE89B1E16EE4498EB3A0EC4A3.tplgfr34s_2?idArticle=JORFARTI000042070982&amp;cidTexte=JORFTEXT000042070963&amp;dateTexte=29990101&amp;categorieLien=id" TargetMode="External"/><Relationship Id="rId23" Type="http://schemas.openxmlformats.org/officeDocument/2006/relationships/fontTable" Target="fontTable.xml"/><Relationship Id="rId10" Type="http://schemas.openxmlformats.org/officeDocument/2006/relationships/hyperlink" Target="https://www.legifrance.gouv.fr/affichTexteArticle.do;jsessionid=E3FC7CDEE89B1E16EE4498EB3A0EC4A3.tplgfr34s_2?idArticle=JORFARTI000042070972&amp;cidTexte=JORFTEXT000042070963&amp;dateTexte=29990101&amp;categorieLien=id" TargetMode="External"/><Relationship Id="rId19" Type="http://schemas.openxmlformats.org/officeDocument/2006/relationships/hyperlink" Target="https://www.legifrance.gouv.fr/affichTexteArticle.do;jsessionid=E3FC7CDEE89B1E16EE4498EB3A0EC4A3.tplgfr34s_2?idArticle=JORFARTI000042070991&amp;cidTexte=JORFTEXT000042070963&amp;dateTexte=29990101&amp;categorieLien=id" TargetMode="External"/><Relationship Id="rId4" Type="http://schemas.openxmlformats.org/officeDocument/2006/relationships/hyperlink" Target="https://www.legifrance.gouv.fr/affichCodeArticle.do?cidTexte=LEGITEXT000006074220&amp;idArticle=LEGIARTI000006833119&amp;dateTexte=29990101&amp;categorieLien=cid" TargetMode="External"/><Relationship Id="rId9" Type="http://schemas.openxmlformats.org/officeDocument/2006/relationships/hyperlink" Target="https://www.legifrance.gouv.fr/affichCodeArticle.do?cidTexte=LEGITEXT000006074220&amp;idArticle=LEGIARTI000032975869&amp;dateTexte=29990101&amp;categorieLien=cid" TargetMode="External"/><Relationship Id="rId14" Type="http://schemas.openxmlformats.org/officeDocument/2006/relationships/hyperlink" Target="https://www.legifrance.gouv.fr/affichCodeArticle.do?cidTexte=LEGITEXT000006070633&amp;idArticle=LEGIARTI000006390351&amp;dateTexte=&amp;categorieLien=cid" TargetMode="External"/><Relationship Id="rId22" Type="http://schemas.openxmlformats.org/officeDocument/2006/relationships/hyperlink" Target="https://www.legifrance.gouv.fr/affichTexteArticle.do;jsessionid=E3FC7CDEE89B1E16EE4498EB3A0EC4A3.tplgfr34s_2?idArticle=JORFARTI000042071000&amp;cidTexte=JORFTEXT000042070963&amp;dateTexte=29990101&amp;categorieLien=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3230</Words>
  <Characters>17769</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forsans</dc:creator>
  <cp:keywords/>
  <dc:description/>
  <cp:lastModifiedBy>Stéphan DURAND</cp:lastModifiedBy>
  <cp:revision>2</cp:revision>
  <dcterms:created xsi:type="dcterms:W3CDTF">2020-07-14T16:41:00Z</dcterms:created>
  <dcterms:modified xsi:type="dcterms:W3CDTF">2020-07-14T16:41:00Z</dcterms:modified>
</cp:coreProperties>
</file>